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45k WHG 2009 — Koordinierung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Um die Bewirtschaftungsziele nach § 45a zu erreichen, koordinieren die zuständigen Behörden, einschließlich der zuständigen Behörden der betroffenen Binnenländer, die Maßnahmen nach den §§ 45c bis 45h sowohl untereinander als auch mit den zuständigen Behörden im Bereich der deutschen ausschließlichen Wirtschaftszone und des Festlandsockels sowie mit den zuständigen Behörden anderer Mitgliedstaaten der Europäischen Union. Die zuständigen Behörden bemühen sich um eine dem Satz 1 entsprechende Koordinierung mit den zuständigen Behörden von Staaten, die nicht der Europäischen Union angehören. Die zuständigen Behörden sollen die Organisationseinheiten internationaler Meeresübereinkommen und internationaler Flussgebietsübereinkommen nutzen. Für die Koordinierung nach den Sätzen 1 bis 3 gilt § 7 Absatz 4 Satz 2 entsprechend.</w:t>
      </w:r>
    </w:p>
    <w:p>
      <w:r>
        <w:t xml:space="preserve">(2) Ergreifen andere Mitgliedstaaten der Europäischen Union Maßnahmen nach der Richtlinie 2008/56/EG, wirken die zuständigen Behörden hieran auch insoweit mit, als diese Maßnahmen im Zusammenhang damit stehen, dass der Oberflächenabfluss einer Flussgebietseinheit in das Meeresgewässer gelangt, für das die Maßnahmen ergriffen werden. Absatz 1 Satz 2 bis 4 gilt entsprechend.</w:t>
      </w:r>
    </w:p>
    <w:p>
      <w:r>
        <w:rPr>
          <w:color w:val="555555"/>
          <w:sz w:val="17"/>
        </w:rPr>
        <w:t xml:space="preserve">Zitiervorschlag: § 45k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