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45g WHG 2009 — Fristverlängerungen; Ausnahmen von den Bewirtschaftungszielen</w:t>
      </w:r>
    </w:p>
    <w:p>
      <w:r>
        <w:rPr>
          <w:color w:val="555555"/>
          <w:sz w:val="18"/>
        </w:rPr>
        <w:t xml:space="preserve">Wasserhaushaltsgesetz</w:t>
      </w:r>
    </w:p>
    <w:p>
      <w:r>
        <w:rPr>
          <w:color w:val="555555"/>
          <w:sz w:val="18"/>
        </w:rPr>
        <w:t xml:space="preserve">Stand: 10.06.2019 (konsolidierte Textfassung, kein amtliches Inkrafttretensdatum)</w:t>
      </w:r>
    </w:p>
    <w:p>
      <w:r>
        <w:t xml:space="preserve">(1) Die zuständige Behörde kann die Frist nach § 45a Absatz 1 Nummer 2 sowie Fristen für nach § 45e Satz 1 festgelegte Ziele verlängern, soweit es für bestimmte Teile der Meeresgewässer wegen natürlicher Gegebenheiten unmöglich ist, die Ziele fristgerecht zu erreichen. Sie berücksichtigt bei ihrer Entscheidung die Auswirkungen auf Meeresgewässer anderer Staaten sowie die Hohe See.</w:t>
      </w:r>
    </w:p>
    <w:p>
      <w:r>
        <w:t xml:space="preserve">(2) Die zuständige Behörde kann für bestimmte Teile der Meeresgewässer Ausnahmen hinsichtlich der Erreichung des guten Zustands nach § 45a Absatz 1 Nummer 2 oder hinsichtlich der nach § 45e Satz 1 festgelegten Ziele zulassen. Ausnahmen sind nur zulässig, wenn die Ziele nach Satz 1 nicht erreicht werden können auf Grund von</w:t>
      </w:r>
    </w:p>
    <w:p>
      <w:pPr>
        <w:ind w:left="420"/>
      </w:pPr>
      <w:r>
        <w:t xml:space="preserve">1. Handlungen oder Unterlassungen außerhalb des Geltungsbereichs dieses Gesetzes,</w:t>
      </w:r>
    </w:p>
    <w:p>
      <w:pPr>
        <w:ind w:left="420"/>
      </w:pPr>
      <w:r>
        <w:t xml:space="preserve">2. natürlichen Ursachen,</w:t>
      </w:r>
    </w:p>
    <w:p>
      <w:pPr>
        <w:ind w:left="420"/>
      </w:pPr>
      <w:r>
        <w:t xml:space="preserve">3. höherer Gewalt oder</w:t>
      </w:r>
    </w:p>
    <w:p>
      <w:pPr>
        <w:ind w:left="420"/>
      </w:pPr>
      <w:r>
        <w:t xml:space="preserve">4. Änderungen der physikalischen Eigenschaften des Meeresgewässers durch Maßnahmen aus Gründen des Gemeinwohls, sofern der Nutzen der Maßnahmen die nachteiligen Umweltauswirkungen überwiegt.</w:t>
      </w:r>
    </w:p>
    <w:p>
      <w:r>
        <w:t xml:space="preserve">Absatz 1 Satz 2 gilt entsprechend. In den Fällen des Satzes 2 Nummer 4 ist sicherzustellen, dass die Erreichung des guten Zustands der Meeresgewässer, einschließlich der Meeresgewässer anderer Mitgliedstaaten der Europäischen Union, nicht dauerhaft verhindert oder erschwert wird.</w:t>
      </w:r>
    </w:p>
    <w:p>
      <w:r>
        <w:t xml:space="preserve">(3) Verlängert die zuständige Behörde nach Absatz 1 Satz 1 eine Frist oder lässt sie Ausnahmen nach Absatz 2 zu, hat sie Maßnahmen zu ergreifen, die darauf abzielen,</w:t>
      </w:r>
    </w:p>
    <w:p>
      <w:pPr>
        <w:ind w:left="420"/>
      </w:pPr>
      <w:r>
        <w:t xml:space="preserve">1. die nach § 45e Satz 1 festgelegten Ziele weiterzuverfolgen,</w:t>
      </w:r>
    </w:p>
    <w:p>
      <w:pPr>
        <w:ind w:left="420"/>
      </w:pPr>
      <w:r>
        <w:t xml:space="preserve">2. in den Fällen des Absatzes 2 Satz 1 Nummer 2 bis 4 eine weitere Verschlechterung des Zustands des Meeresgewässers zu vermeiden und</w:t>
      </w:r>
    </w:p>
    <w:p>
      <w:pPr>
        <w:ind w:left="420"/>
      </w:pPr>
      <w:r>
        <w:t xml:space="preserve">3. nachteilige Wirkungen auf den Zustand der Meeresgewässer, einschließlich der Meeresgewässer anderer Staaten sowie der Hohen See, abzuschwächen.</w:t>
      </w:r>
    </w:p>
    <w:p>
      <w:r>
        <w:rPr>
          <w:color w:val="555555"/>
          <w:sz w:val="17"/>
        </w:rPr>
        <w:t xml:space="preserve">Zitiervorschlag: § 45g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https://recht.nulegal.eu/gesetze/WHG%202009/45g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