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45e WHG 2009 — Festlegung von Zielen</w:t>
      </w:r>
    </w:p>
    <w:p>
      <w:r>
        <w:rPr>
          <w:color w:val="555555"/>
          <w:sz w:val="18"/>
        </w:rPr>
        <w:t xml:space="preserve">Wasserhaushaltsgesetz</w:t>
      </w:r>
    </w:p>
    <w:p>
      <w:r>
        <w:rPr>
          <w:color w:val="555555"/>
          <w:sz w:val="18"/>
        </w:rPr>
        <w:t xml:space="preserve">Stand: 10.06.2019 (konsolidierte Textfassung, kein amtliches Inkrafttretensdatum)</w:t>
      </w:r>
    </w:p>
    <w:p>
      <w:r>
        <w:t xml:space="preserve">Auf der Grundlage der Anfangsbewertung nach § 45c legen die zuständigen Behörden nach Maßgabe des Anhangs IV der Richtlinie 2008/56/EG in der jeweils geltenden Fassung bis zum 15. Juli 2012 die Zwischenziele mit Fristen und die Einzelziele, die erforderlich sind, um einen guten Zustand der Meeresgewässer zu erreichen, sowie zugehörige Indikatoren fest. Dabei sind andere einschlägige Ziele zu berücksichtigen, die für die Gewässer auf nationaler, gemeinschaftlicher oder internationaler Ebene festgelegt worden sind, einschließlich der Bewirtschaftungsziele nach Maßgabe des § 44 und der Erhaltungsziele im Sinne des § 7 Absatz 1 Nummer 9 des Bundesnaturschutzgesetzes. Die zuständigen Behörden stellen sicher, dass die Ziele miteinander vereinbar sind.</w:t>
      </w:r>
    </w:p>
    <w:p>
      <w:r>
        <w:rPr>
          <w:color w:val="555555"/>
          <w:sz w:val="17"/>
        </w:rPr>
        <w:t xml:space="preserve">Zitiervorschlag: § 45e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