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WHG 2009 — Erlaubnisfreie Benutzungen von Küstengewässern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bestimmen, dass eine Erlaubnis nicht erforderlich ist</w:t>
      </w:r>
    </w:p>
    <w:p>
      <w:pPr>
        <w:ind w:left="420"/>
      </w:pPr>
      <w:r>
        <w:t xml:space="preserve">1. für das Einleiten von Grund-, Quell- und Niederschlagswasser in ein Küstengewässer,</w:t>
      </w:r>
    </w:p>
    <w:p>
      <w:pPr>
        <w:ind w:left="420"/>
      </w:pPr>
      <w:r>
        <w:t xml:space="preserve">2. für das Einbringen und Einleiten von anderen Stoffen in ein Küstengewässer, wenn dadurch keine signifikanten nachteiligen Veränderungen seiner Eigenschaften zu erwarten sind.</w:t>
      </w:r>
    </w:p>
    <w:p>
      <w:r>
        <w:rPr>
          <w:color w:val="555555"/>
          <w:sz w:val="17"/>
        </w:rPr>
        <w:t xml:space="preserve">Zitiervorschlag: § 43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