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WHG 2009 — Behördliche Entscheidungen zur Gewässerunterhaltung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kann</w:t>
      </w:r>
    </w:p>
    <w:p>
      <w:pPr>
        <w:ind w:left="420"/>
      </w:pPr>
      <w:r>
        <w:t xml:space="preserve">1. die nach § 39 erforderlichen Unterhaltungsmaßnahmen sowie die Pflichten nach § 41 Absatz 1 bis 3 näher festlegen,</w:t>
      </w:r>
    </w:p>
    <w:p>
      <w:pPr>
        <w:ind w:left="420"/>
      </w:pPr>
      <w:r>
        <w:t xml:space="preserve">2. anordnen, dass Unterhaltungsmaßnahmen nicht durchzuführen sind, soweit dies notwendig ist, um die Bewirtschaftungsziele zu erreichen.</w:t>
      </w:r>
    </w:p>
    <w:p>
      <w:r>
        <w:t xml:space="preserve">(2) Die zuständige Behörde hat in den Fällen des § 40 Absatz 1 Satz 2 und 3 und Absatz 3 Satz 2 den Umfang der Kostenbeteiligung oder -erstattung festzusetzen, wenn die Beteiligten sich hierüber nicht einigen können.</w:t>
      </w:r>
    </w:p>
    <w:p>
      <w:r>
        <w:rPr>
          <w:color w:val="555555"/>
          <w:sz w:val="17"/>
        </w:rPr>
        <w:t xml:space="preserve">Zitiervorschlag: § 42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