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38a WHG 2009 — Landwirtschaftlich genutzte Flächen mit Hangneigung an Gewässern</w:t>
      </w:r>
    </w:p>
    <w:p>
      <w:r>
        <w:rPr>
          <w:color w:val="555555"/>
          <w:sz w:val="18"/>
        </w:rPr>
        <w:t xml:space="preserve">Wasserhaushaltsgesetz</w:t>
      </w:r>
    </w:p>
    <w:p>
      <w:r>
        <w:rPr>
          <w:color w:val="555555"/>
          <w:sz w:val="18"/>
        </w:rPr>
        <w:t xml:space="preserve">Stand: 03.07.2020 (konsolidierte Textfassung, kein amtliches Inkrafttretensdatum)</w:t>
      </w:r>
    </w:p>
    <w:p>
      <w:r>
        <w:t xml:space="preserve">(1) Eigentümer und Nutzungsberechtigte haben auf landwirtschaftlich genutzten Flächen, die an Gewässer angrenzen und innerhalb eines Abstandes von 20 Metern zur Böschungsoberkante eine Hangneigung zum Gewässer von durchschnittlich mindestens 5 Prozent aufweisen, innerhalb eines Abstandes von 5 Metern landseits zur Böschungsoberkante des Gewässers eine geschlossene, ganzjährig begrünte Pflanzendecke zu erhalten oder herzustellen. Bei Gewässern ohne ausgeprägte Böschungsoberkante ist die Linie des Mittelwasserstandes maßgeblich. Eine Bodenbearbeitung zur Erneuerung des Pflanzenbewuchses darf einmal innerhalb von Fünfjahreszeiträumen durchgeführt werden. Der erste Fünfjahreszeitraum beginnt mit Ablauf des 30. Juni 2020.</w:t>
      </w:r>
    </w:p>
    <w:p>
      <w:r>
        <w:t xml:space="preserve">(2) Weitergehende Rechtsvorschriften der Länder bleiben unberührt. Abweichend von Absatz 1 Satz 1 und 2 gilt die Linie des Mittelwasserstandes, sofern das Landesrecht diesen Bezugspunkt vorsieht und schädliche Gewässerveränderungen vermieden werden.</w:t>
      </w:r>
    </w:p>
    <w:p>
      <w:r>
        <w:rPr>
          <w:color w:val="555555"/>
          <w:sz w:val="17"/>
        </w:rPr>
        <w:t xml:space="preserve">Zitiervorschlag: § 38a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38a WHG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