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WHG 2009 — Wasserkraftnutzung</w:t>
      </w:r>
    </w:p>
    <w:p>
      <w:r>
        <w:rPr>
          <w:color w:val="555555"/>
          <w:sz w:val="18"/>
        </w:rPr>
        <w:t xml:space="preserve">Wasserhaushaltsgesetz</w:t>
      </w:r>
    </w:p>
    <w:p>
      <w:r>
        <w:rPr>
          <w:color w:val="555555"/>
          <w:sz w:val="18"/>
        </w:rPr>
        <w:t xml:space="preserve">Stand: 10.06.2019 (konsolidierte Textfassung, kein amtliches Inkrafttretensdatum)</w:t>
      </w:r>
    </w:p>
    <w:p>
      <w:r>
        <w:t xml:space="preserve">(1) Die Nutzung von Wasserkraft darf nur zugelassen werden, wenn auch geeignete Maßnahmen zum Schutz der Fischpopulation ergriffen werden.</w:t>
      </w:r>
    </w:p>
    <w:p>
      <w:r>
        <w:t xml:space="preserve">(2) Entsprechen vorhandene Wasserkraftnutzungen nicht den Anforderungen nach Absatz 1, so sind die erforderlichen Maßnahmen innerhalb angemessener Fristen durchzuführen.</w:t>
      </w:r>
    </w:p>
    <w:p>
      <w:r>
        <w:t xml:space="preserve">(3) Die zuständige Behörde prüft, ob an Staustufen und sonstigen Querverbauungen, die am 1. März 2010 bestehen und deren Rückbau zur Erreichung der Bewirtschaftungsziele nach Maßgabe der §§ 27 bis 31 auch langfristig nicht vorgesehen ist, eine Wasserkraftnutzung nach den Standortgegebenheiten möglich ist. Das Ergebnis der Prüfung wird der Öffentlichkeit in geeigneter Weise zugänglich gemacht.</w:t>
      </w:r>
    </w:p>
    <w:p>
      <w:r>
        <w:rPr>
          <w:color w:val="555555"/>
          <w:sz w:val="17"/>
        </w:rPr>
        <w:t xml:space="preserve">Zitiervorschlag: § 35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