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WHG 2009 — Durchgängigkeit oberirdischer Gewässer</w:t>
      </w:r>
    </w:p>
    <w:p>
      <w:r>
        <w:rPr>
          <w:color w:val="555555"/>
          <w:sz w:val="18"/>
        </w:rPr>
        <w:t xml:space="preserve">Wasserhaushaltsgesetz</w:t>
      </w:r>
    </w:p>
    <w:p>
      <w:r>
        <w:rPr>
          <w:color w:val="555555"/>
          <w:sz w:val="18"/>
        </w:rPr>
        <w:t xml:space="preserve">Stand: 10.06.2019 (konsolidierte Textfassung, kein amtliches Inkrafttretensdatum)</w:t>
      </w:r>
    </w:p>
    <w:p>
      <w:r>
        <w:t xml:space="preserve">(1) Die Errichtung, die wesentliche Änderung und der Betrieb von Stauanlagen dürfen nur zugelassen werden, wenn durch geeignete Einrichtungen und Betriebsweisen die Durchgängigkeit des Gewässers erhalten oder wiederhergestellt wird, soweit dies erforderlich ist, um die Bewirtschaftungsziele nach Maßgabe der §§ 27 bis 31 zu erreichen.</w:t>
      </w:r>
    </w:p>
    <w:p>
      <w:r>
        <w:t xml:space="preserve">(2) Entsprechen vorhandene Stauanlagen nicht den Anforderungen nach Absatz 1, so hat die zuständige Behörde die Anordnungen zur Wiederherstellung der Durchgängigkeit zu treffen, die erforderlich sind, um die Bewirtschaftungsziele nach Maßgabe der §§ 27 bis 31 zu erreichen.</w:t>
      </w:r>
    </w:p>
    <w:p>
      <w:r>
        <w:t xml:space="preserve">(3) Die Wasserstraßen- und Schifffahrtsverwaltung des Bundes führt bei Stauanlagen an Bundeswasserstraßen, die von ihr errichtet oder betrieben werden, die nach den Absätzen 1 und 2 erforderlichen Maßnahmen im Rahmen ihrer Aufgaben nach dem Bundeswasserstraßengesetz hoheitlich durch.</w:t>
      </w:r>
    </w:p>
    <w:p>
      <w:r>
        <w:rPr>
          <w:color w:val="555555"/>
          <w:sz w:val="17"/>
        </w:rPr>
        <w:t xml:space="preserve">Zitiervorschlag: § 34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https://recht.nulegal.eu/gesetze/WHG%202009/34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