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WHG 2009 — Ausnahmen von den Bewirtschaftungszielen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Vorübergehende Verschlechterungen des Zustands eines oberirdischen Gewässers verstoßen nicht gegen die Bewirtschaftungsziele nach den §§ 27 und 30, wenn</w:t>
      </w:r>
    </w:p>
    <w:p>
      <w:pPr>
        <w:ind w:left="420"/>
      </w:pPr>
      <w:r>
        <w:t xml:space="preserve">1. sie auf Umständen beruhen, die</w:t>
      </w:r>
    </w:p>
    <w:p>
      <w:pPr>
        <w:ind w:left="780"/>
      </w:pPr>
      <w:r>
        <w:t xml:space="preserve">a) in natürlichen Ursachen begründet oder durch höhere Gewalt bedingt sind und die außergewöhnlich sind und nicht vorhersehbar waren oder</w:t>
      </w:r>
    </w:p>
    <w:p>
      <w:pPr>
        <w:ind w:left="780"/>
      </w:pPr>
      <w:r>
        <w:t xml:space="preserve">b) durch Unfälle entstanden sind,</w:t>
      </w:r>
    </w:p>
    <w:p>
      <w:pPr>
        <w:ind w:left="420"/>
      </w:pPr>
      <w:r>
        <w:t xml:space="preserve">2. alle praktisch geeigneten Maßnahmen ergriffen werden, um eine weitere Verschlechterung des Gewässerzustands und eine Gefährdung der zu erreichenden Bewirtschaftungsziele in anderen, von diesen Umständen nicht betroffenen Gewässern zu verhindern,</w:t>
      </w:r>
    </w:p>
    <w:p>
      <w:pPr>
        <w:ind w:left="420"/>
      </w:pPr>
      <w:r>
        <w:t xml:space="preserve">3. nur solche Maßnahmen ergriffen werden, die eine Wiederherstellung des vorherigen Gewässerzustands nach Wegfall der Umstände nicht gefährden dürfen und die im Maßnahmenprogramm nach § 82 aufgeführt werden und</w:t>
      </w:r>
    </w:p>
    <w:p>
      <w:pPr>
        <w:ind w:left="420"/>
      </w:pPr>
      <w:r>
        <w:t xml:space="preserve">4. die Auswirkungen der Umstände jährlich überprüft und praktisch geeignete Maßnahmen ergriffen werden, um den vorherigen Gewässerzustand vorbehaltlich der in § 29 Absatz 2 Satz 1 Nummer 1 bis 3 genannten Gründe so bald wie möglich wiederherzustellen.</w:t>
      </w:r>
    </w:p>
    <w:p>
      <w:r>
        <w:t xml:space="preserve">(2) Wird bei einem oberirdischen Gewässer der gute ökologische Zustand nicht erreicht oder verschlechtert sich sein Zustand, verstößt dies nicht gegen die Bewirtschaftungsziele nach den §§ 27 und 30, wenn</w:t>
      </w:r>
    </w:p>
    <w:p>
      <w:pPr>
        <w:ind w:left="420"/>
      </w:pPr>
      <w:r>
        <w:t xml:space="preserve">1. dies auf einer neuen Veränderung der physischen Gewässereigenschaften oder des Grundwasserstands beruht,</w:t>
      </w:r>
    </w:p>
    <w:p>
      <w:pPr>
        <w:ind w:left="420"/>
      </w:pPr>
      <w:r>
        <w:t xml:space="preserve">2. die Gründe für die Veränderung von übergeordnetem öffentlichen Interesse sind oder wenn der Nutzen der neuen Veränderung für die Gesundheit oder Sicherheit des Menschen oder für die nachhaltige Entwicklung größer ist als der Nutzen, den die Erreichung der Bewirtschaftungsziele für die Umwelt und die Allgemeinheit hat,</w:t>
      </w:r>
    </w:p>
    <w:p>
      <w:pPr>
        <w:ind w:left="420"/>
      </w:pPr>
      <w:r>
        <w:t xml:space="preserve">3. die Ziele, die mit der Veränderung des Gewässers verfolgt werden, nicht mit anderen geeigneten Maßnahmen erreicht werden können, die wesentlich geringere nachteilige Auswirkungen auf die Umwelt haben, technisch durchführbar und nicht mit unverhältnismäßig hohem Aufwand verbunden sind und</w:t>
      </w:r>
    </w:p>
    <w:p>
      <w:pPr>
        <w:ind w:left="420"/>
      </w:pPr>
      <w:r>
        <w:t xml:space="preserve">4. alle praktisch geeigneten Maßnahmen ergriffen werden, um die nachteiligen Auswirkungen auf den Gewässerzustand zu verringern.</w:t>
      </w:r>
    </w:p>
    <w:p>
      <w:r>
        <w:t xml:space="preserve">Bei neuen nachhaltigen Entwicklungstätigkeiten des Menschen im Sinne des § 28 Nummer 1 ist unter den in Satz 1 Nummer 2 bis 4 genannten Voraussetzungen auch eine Verschlechterung von einem sehr guten in einen guten Gewässerzustand zulässig.</w:t>
      </w:r>
    </w:p>
    <w:p>
      <w:r>
        <w:t xml:space="preserve">(3) Für Ausnahmen nach den Absätzen 1 und 2 gilt § 29 Absatz 2 Satz 2 entsprechend.</w:t>
      </w:r>
    </w:p>
    <w:p>
      <w:r>
        <w:rPr>
          <w:color w:val="555555"/>
          <w:sz w:val="17"/>
        </w:rPr>
        <w:t xml:space="preserve">Zitiervorschlag: § 31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