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WHG 2009 — Abweichende Bewirtschaftungsziele</w:t>
      </w:r>
    </w:p>
    <w:p>
      <w:r>
        <w:rPr>
          <w:color w:val="555555"/>
          <w:sz w:val="18"/>
        </w:rPr>
        <w:t xml:space="preserve">Wasserhaushaltsgesetz</w:t>
      </w:r>
    </w:p>
    <w:p>
      <w:r>
        <w:rPr>
          <w:color w:val="555555"/>
          <w:sz w:val="18"/>
        </w:rPr>
        <w:t xml:space="preserve">Stand: 10.06.2019 (konsolidierte Textfassung, kein amtliches Inkrafttretensdatum)</w:t>
      </w:r>
    </w:p>
    <w:p>
      <w:r>
        <w:t xml:space="preserve">Abweichend von § 27 können die zuständigen Behörden für bestimmte oberirdische Gewässer weniger strenge Bewirtschaftungsziele festlegen, wenn</w:t>
      </w:r>
    </w:p>
    <w:p>
      <w:pPr>
        <w:ind w:left="420"/>
      </w:pPr>
      <w:r>
        <w:t xml:space="preserve">1. die Gewässer durch menschliche Tätigkeiten so beeinträchtigt oder ihre natürlichen Gegebenheiten so beschaffen sind, dass die Erreichung der Ziele unmöglich ist oder mit unverhältnismäßig hohem Aufwand verbunden wäre,</w:t>
      </w:r>
    </w:p>
    <w:p>
      <w:pPr>
        <w:ind w:left="420"/>
      </w:pPr>
      <w:r>
        <w:t xml:space="preserve">2. die ökologischen und sozioökonomischen Erfordernisse, denen diese menschlichen Tätigkeiten dienen, nicht durch andere Maßnahmen erreicht werden können, die wesentlich geringere nachteilige Auswirkungen auf die Umwelt hätten und nicht mit unverhältnismäßig hohem Aufwand verbunden wären,</w:t>
      </w:r>
    </w:p>
    <w:p>
      <w:pPr>
        <w:ind w:left="420"/>
      </w:pPr>
      <w:r>
        <w:t xml:space="preserve">3. weitere Verschlechterungen des Gewässerzustands vermieden werden und</w:t>
      </w:r>
    </w:p>
    <w:p>
      <w:pPr>
        <w:ind w:left="420"/>
      </w:pPr>
      <w:r>
        <w:t xml:space="preserve">4. unter Berücksichtigung der Auswirkungen auf die Gewässereigenschaften, die infolge der Art der menschlichen Tätigkeiten nicht zu vermeiden waren, der bestmögliche ökologische Zustand oder das bestmögliche ökologische Potenzial und der bestmögliche chemische Zustand erreicht werden.</w:t>
      </w:r>
    </w:p>
    <w:p>
      <w:r>
        <w:t xml:space="preserve">§ 29 Absatz 2 Satz 2 gilt entsprechend.</w:t>
      </w:r>
    </w:p>
    <w:p>
      <w:r>
        <w:rPr>
          <w:color w:val="555555"/>
          <w:sz w:val="17"/>
        </w:rPr>
        <w:t xml:space="preserve">Zitiervorschlag: § 30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