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27 WHG 2009 — Bewirtschaftungsziele für oberirdische Gewässer</w:t>
      </w:r>
    </w:p>
    <w:p>
      <w:r>
        <w:rPr>
          <w:color w:val="555555"/>
          <w:sz w:val="18"/>
        </w:rPr>
        <w:t xml:space="preserve">Wasserhaushaltsgesetz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Oberirdische Gewässer sind, soweit sie nicht nach § 28 als künstlich oder erheblich verändert eingestuft werden, so zu bewirtschaften, dass</w:t>
      </w:r>
    </w:p>
    <w:p>
      <w:pPr>
        <w:ind w:left="420"/>
      </w:pPr>
      <w:r>
        <w:t xml:space="preserve">1. eine Verschlechterung ihres ökologischen und ihres chemischen Zustands vermieden wird und</w:t>
      </w:r>
    </w:p>
    <w:p>
      <w:pPr>
        <w:ind w:left="420"/>
      </w:pPr>
      <w:r>
        <w:t xml:space="preserve">2. ein guter ökologischer und ein guter chemischer Zustand erhalten oder erreicht werden.</w:t>
      </w:r>
    </w:p>
    <w:p>
      <w:r>
        <w:t xml:space="preserve">(2) Oberirdische Gewässer, die nach § 28 als künstlich oder erheblich verändert eingestuft werden, sind so zu bewirtschaften, dass</w:t>
      </w:r>
    </w:p>
    <w:p>
      <w:pPr>
        <w:ind w:left="420"/>
      </w:pPr>
      <w:r>
        <w:t xml:space="preserve">1. eine Verschlechterung ihres ökologischen Potenzials und ihres chemischen Zustands vermieden wird und</w:t>
      </w:r>
    </w:p>
    <w:p>
      <w:pPr>
        <w:ind w:left="420"/>
      </w:pPr>
      <w:r>
        <w:t xml:space="preserve">2. ein gutes ökologisches Potenzial und ein guter chemischer Zustand erhalten oder erreicht werden.</w:t>
      </w:r>
    </w:p>
    <w:p>
      <w:r>
        <w:rPr>
          <w:color w:val="555555"/>
          <w:sz w:val="17"/>
        </w:rPr>
        <w:t xml:space="preserve">Zitiervorschlag: § 27 WHG 2009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https://recht.nulegal.eu/gesetze/WHG%202009/27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