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WHG 2009 — Eigentümer- und Anliegergebrauch</w:t>
      </w:r>
    </w:p>
    <w:p>
      <w:r>
        <w:rPr>
          <w:color w:val="555555"/>
          <w:sz w:val="18"/>
        </w:rPr>
        <w:t xml:space="preserve">Wasserhaushaltsgesetz</w:t>
      </w:r>
    </w:p>
    <w:p>
      <w:r>
        <w:rPr>
          <w:color w:val="555555"/>
          <w:sz w:val="18"/>
        </w:rPr>
        <w:t xml:space="preserve">Stand: 10.06.2019 (konsolidierte Textfassung, kein amtliches Inkrafttretensdatum)</w:t>
      </w:r>
    </w:p>
    <w:p>
      <w:r>
        <w:t xml:space="preserve">(1) Eine Erlaubnis oder eine Bewilligung ist, soweit durch Landesrecht nicht etwas anderes bestimmt ist, nicht erforderlich für die Benutzung eines oberirdischen Gewässers durch den Eigentümer oder die durch ihn berechtigte Person für den eigenen Bedarf, wenn dadurch andere nicht beeinträchtigt werden und keine nachteilige Veränderung der Wasserbeschaffenheit, keine wesentliche Verminderung der Wasserführung sowie keine andere Beeinträchtigung des Wasserhaushalts zu erwarten sind. Der Eigentümergebrauch umfasst nicht das Einbringen und Einleiten von Stoffen in oberirdische Gewässer. § 25 Satz 3 gilt entsprechend.</w:t>
      </w:r>
    </w:p>
    <w:p>
      <w:r>
        <w:t xml:space="preserve">(2) Die Eigentümer der an oberirdische Gewässer grenzenden Grundstücke und die zur Nutzung dieser Grundstücke Berechtigten (Anlieger) dürfen oberirdische Gewässer ohne Erlaubnis oder Bewilligung nach Maßgabe des Absatzes 1 benutzen.</w:t>
      </w:r>
    </w:p>
    <w:p>
      <w:r>
        <w:t xml:space="preserve">(3) An Bundeswasserstraßen und an sonstigen Gewässern, die der Schifffahrt dienen oder künstlich errichtet sind, findet ein Gebrauch nach Absatz 2 nicht statt.</w:t>
      </w:r>
    </w:p>
    <w:p>
      <w:r>
        <w:rPr>
          <w:color w:val="555555"/>
          <w:sz w:val="17"/>
        </w:rPr>
        <w:t xml:space="preserve">Zitiervorschlag: § 26 WHG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https://recht.nulegal.eu/gesetze/WHG%202009/26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