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WHG 2009 — Gemeingebrauch</w:t>
      </w:r>
    </w:p>
    <w:p>
      <w:r>
        <w:rPr>
          <w:color w:val="555555"/>
          <w:sz w:val="18"/>
        </w:rPr>
        <w:t xml:space="preserve">Wasserhaushaltsgesetz</w:t>
      </w:r>
    </w:p>
    <w:p>
      <w:r>
        <w:rPr>
          <w:color w:val="555555"/>
          <w:sz w:val="18"/>
        </w:rPr>
        <w:t xml:space="preserve">Stand: 10.06.2019 (konsolidierte Textfassung, kein amtliches Inkrafttretensdatum)</w:t>
      </w:r>
    </w:p>
    <w:p>
      <w:r>
        <w:t xml:space="preserve">Jede Person darf oberirdische Gewässer in einer Weise und in einem Umfang benutzen, wie dies nach Landesrecht als Gemeingebrauch zulässig ist, soweit nicht Rechte anderer dem entgegenstehen und soweit Befugnisse oder der Eigentümer- oder Anliegergebrauch anderer nicht beeinträchtigt werden. Der Gemeingebrauch umfasst nicht das Einbringen und Einleiten von Stoffen in oberirdische Gewässer. Die Länder können den Gemeingebrauch erstrecken auf</w:t>
      </w:r>
    </w:p>
    <w:p>
      <w:pPr>
        <w:ind w:left="420"/>
      </w:pPr>
      <w:r>
        <w:t xml:space="preserve">1. das schadlose Einleiten von Niederschlagswasser,</w:t>
      </w:r>
    </w:p>
    <w:p>
      <w:pPr>
        <w:ind w:left="420"/>
      </w:pPr>
      <w:r>
        <w:t xml:space="preserve">2. das Einbringen von Stoffen in oberirdische Gewässer für Zwecke der Fischerei, wenn dadurch keine signifikanten nachteiligen Auswirkungen auf den Gewässerzustand zu erwarten sind.</w:t>
      </w:r>
    </w:p>
    <w:p>
      <w:r>
        <w:rPr>
          <w:color w:val="555555"/>
          <w:sz w:val="17"/>
        </w:rPr>
        <w:t xml:space="preserve">Zitiervorschlag: § 25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