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WHG 2009 — Ausgleich zwischen konkurrierenden Gewässerbenutzungen</w:t>
      </w:r>
    </w:p>
    <w:p>
      <w:r>
        <w:rPr>
          <w:color w:val="555555"/>
          <w:sz w:val="18"/>
        </w:rPr>
        <w:t xml:space="preserve">Wasserhaushaltsgesetz</w:t>
      </w:r>
    </w:p>
    <w:p>
      <w:r>
        <w:rPr>
          <w:color w:val="555555"/>
          <w:sz w:val="18"/>
        </w:rPr>
        <w:t xml:space="preserve">Stand: 10.06.2019 (konsolidierte Textfassung, kein amtliches Inkrafttretensdatum)</w:t>
      </w:r>
    </w:p>
    <w:p>
      <w:r>
        <w:t xml:space="preserve">Art, Maß und Zeiten der Gewässerbenutzung im Rahmen von Erlaubnissen, Bewilligungen, alten Rechten und alten Befugnissen können auf Antrag eines Beteiligten oder von Amts wegen in einem Ausgleichsverfahren geregelt oder beschränkt werden, wenn das Wasser nach Menge oder Beschaffenheit nicht für alle Benutzungen ausreicht oder zumindest eine Benutzung beeinträchtigt ist und wenn das Wohl der Allgemeinheit es erfordert. Der Ausgleich ist unter Abwägung der Interessen der Beteiligten und des Wohls der Allgemeinheit sowie unter Berücksichtigung des Gemeingebrauchs nach pflichtgemäßem Ermessen festzulegen.</w:t>
      </w:r>
    </w:p>
    <w:p>
      <w:r>
        <w:rPr>
          <w:color w:val="555555"/>
          <w:sz w:val="17"/>
        </w:rPr>
        <w:t xml:space="preserve">Zitiervorschlag: § 22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