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WHG 2009 — Alte Rechte und alte Befugnisse</w:t>
      </w:r>
    </w:p>
    <w:p>
      <w:r>
        <w:rPr>
          <w:color w:val="555555"/>
          <w:sz w:val="18"/>
        </w:rPr>
        <w:t xml:space="preserve">Wasserhaushaltsgesetz</w:t>
      </w:r>
    </w:p>
    <w:p>
      <w:r>
        <w:rPr>
          <w:color w:val="555555"/>
          <w:sz w:val="18"/>
        </w:rPr>
        <w:t xml:space="preserve">Stand: 10.06.2019 (konsolidierte Textfassung, kein amtliches Inkrafttretensdatum)</w:t>
      </w:r>
    </w:p>
    <w:p>
      <w:r>
        <w:t xml:space="preserve">(1) Soweit die Länder nichts anderes bestimmen, ist keine Erlaubnis oder Bewilligung erforderlich für Gewässerbenutzungen auf Grund</w:t>
      </w:r>
    </w:p>
    <w:p>
      <w:pPr>
        <w:ind w:left="420"/>
      </w:pPr>
      <w:r>
        <w:t xml:space="preserve">1. von Rechten, die nach den Landeswassergesetzen erteilt oder durch sie aufrechterhalten worden sind,</w:t>
      </w:r>
    </w:p>
    <w:p>
      <w:pPr>
        <w:ind w:left="420"/>
      </w:pPr>
      <w:r>
        <w:t xml:space="preserve">2. von Bewilligungen nach § 1 Absatz 1 Satz 1 der Verordnung über Vereinfachungen im Wasser- und Wasserverbandsrecht vom 10. Februar 1945 (RGBl. I S. 29),</w:t>
      </w:r>
    </w:p>
    <w:p>
      <w:pPr>
        <w:ind w:left="420"/>
      </w:pPr>
      <w:r>
        <w:t xml:space="preserve">3. einer nach der Gewerbeordnung erteilten Anlagegenehmigung,</w:t>
      </w:r>
    </w:p>
    <w:p>
      <w:pPr>
        <w:ind w:left="420"/>
      </w:pPr>
      <w:r>
        <w:t xml:space="preserve">4. von Zulassungen, die in einem förmlichen Verfahren nach den Landeswassergesetzen erteilt und die den in den Nummern 1 bis 3 genannten Zulassungen gleichgestellt worden sind sowie</w:t>
      </w:r>
    </w:p>
    <w:p>
      <w:pPr>
        <w:ind w:left="420"/>
      </w:pPr>
      <w:r>
        <w:t xml:space="preserve">5. gesetzlich geregelter Planfeststellungsverfahren oder hoheitlicher Widmungsakte für Anlagen des öffentlichen Verkehrs.</w:t>
      </w:r>
    </w:p>
    <w:p>
      <w:r>
        <w:t xml:space="preserve">Satz 1 gilt nur, wenn zur Ausübung der Benutzung am 12. August 1957, in dem in Artikel 3 des Einigungsvertrages genannten Gebiet am 1. Juli 1990 oder zu einem anderen von den Ländern bestimmten Zeitpunkt rechtmäßige Anlagen vorhanden waren.</w:t>
      </w:r>
    </w:p>
    <w:p>
      <w:r>
        <w:t xml:space="preserve">(2) Die in Absatz 1 aufgeführten Rechte und Befugnisse (alte Rechte und alte Befugnisse) können gegen Entschädigung widerrufen werden, soweit von der Fortsetzung der Gewässerbenutzung eine erhebliche Beeinträchtigung des Wohls der Allgemeinheit zu erwarten ist. Sie können ohne Entschädigung widerrufen werden, soweit dies nicht schon nach dem vor dem 1. März 2010 geltenden Recht zulässig war, wenn</w:t>
      </w:r>
    </w:p>
    <w:p>
      <w:pPr>
        <w:ind w:left="420"/>
      </w:pPr>
      <w:r>
        <w:t xml:space="preserve">1. die Benutzung drei Jahre ununterbrochen nicht ausgeübt worden ist;</w:t>
      </w:r>
    </w:p>
    <w:p>
      <w:pPr>
        <w:ind w:left="420"/>
      </w:pPr>
      <w:r>
        <w:t xml:space="preserve">2. die Benutzung im bisher zulässigen Umfang für den Benutzer nicht mehr erforderlich ist; dies gilt insbesondere, wenn der zulässige Umfang drei Jahre lang erheblich unterschritten wurde;</w:t>
      </w:r>
    </w:p>
    <w:p>
      <w:pPr>
        <w:ind w:left="420"/>
      </w:pPr>
      <w:r>
        <w:t xml:space="preserve">3. der Zweck der Benutzung so geändert worden ist, dass er mit der festgelegten Zweckbestimmung nicht mehr übereinstimmt;</w:t>
      </w:r>
    </w:p>
    <w:p>
      <w:pPr>
        <w:ind w:left="420"/>
      </w:pPr>
      <w:r>
        <w:t xml:space="preserve">4. der Benutzer trotz einer mit der Androhung des Widerrufs verbundenen Warnung die Benutzung über den Rahmen des alten Rechts oder der alten Befugnis hinaus erheblich ausgedehnt oder Bedingungen oder Auflagen nicht erfüllt hat.</w:t>
      </w:r>
    </w:p>
    <w:p>
      <w:r>
        <w:t xml:space="preserve">Für die Zulässigkeit nachträglicher Anforderungen und Maßnahmen ohne Entschädigung gilt § 13 Absatz 2 entsprechend.</w:t>
      </w:r>
    </w:p>
    <w:p>
      <w:r>
        <w:rPr>
          <w:color w:val="555555"/>
          <w:sz w:val="17"/>
        </w:rPr>
        <w:t xml:space="preserve">Zitiervorschlag: § 20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