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WHG 2009 — Anwendungsbereich</w:t>
      </w:r>
    </w:p>
    <w:p>
      <w:r>
        <w:rPr>
          <w:color w:val="555555"/>
          <w:sz w:val="18"/>
        </w:rPr>
        <w:t xml:space="preserve">Wasserhaushaltsgesetz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gilt für folgende Gewässer:</w:t>
      </w:r>
    </w:p>
    <w:p>
      <w:pPr>
        <w:ind w:left="420"/>
      </w:pPr>
      <w:r>
        <w:t xml:space="preserve">1. oberirdische Gewässer,</w:t>
      </w:r>
    </w:p>
    <w:p>
      <w:pPr>
        <w:ind w:left="420"/>
      </w:pPr>
      <w:r>
        <w:t xml:space="preserve">2. Küstengewässer,</w:t>
      </w:r>
    </w:p>
    <w:p>
      <w:pPr>
        <w:ind w:left="420"/>
      </w:pPr>
      <w:r>
        <w:t xml:space="preserve">3. Grundwasser.</w:t>
      </w:r>
    </w:p>
    <w:p>
      <w:r>
        <w:t xml:space="preserve">Es gilt auch für Teile dieser Gewässer.</w:t>
      </w:r>
    </w:p>
    <w:p>
      <w:r>
        <w:t xml:space="preserve">(1a) Für Meeresgewässer gelten die Vorschriften des § 23, des Kapitels 2 Abschnitt 3a und des § 90. Die für die Bewirtschaftung der Küstengewässer geltenden Vorschriften bleiben unberührt.</w:t>
      </w:r>
    </w:p>
    <w:p>
      <w:r>
        <w:t xml:space="preserve">(2) Die Länder können kleine Gewässer von wasserwirtschaftlich untergeordneter Bedeutung, insbesondere Straßenseitengräben als Bestandteil von Straßen, Be- und Entwässerungsgräben, sowie Heilquellen von den Bestimmungen dieses Gesetzes ausnehmen. Dies gilt nicht für die Haftung für Gewässerveränderungen nach den §§ 89 und 90.</w:t>
      </w:r>
    </w:p>
    <w:p>
      <w:r>
        <w:rPr>
          <w:color w:val="555555"/>
          <w:sz w:val="17"/>
        </w:rPr>
        <w:t xml:space="preserve">Zitiervorschlag: § 2 WHG 2009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https://recht.nulegal.eu/gesetze/WHG%202009/2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