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WHG 2009 — Zulassung vorzeitigen Beginns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einem Erlaubnis- oder Bewilligungsverfahren kann die zuständige Behörde auf Antrag zulassen, dass bereits vor Erteilung der Erlaubnis oder der Bewilligung mit der Gewässerbenutzung begonnen wird, wenn</w:t>
      </w:r>
    </w:p>
    <w:p>
      <w:pPr>
        <w:ind w:left="420"/>
      </w:pPr>
      <w:r>
        <w:t xml:space="preserve">1. mit einer Entscheidung zugunsten des Benutzers gerechnet werden kann,</w:t>
      </w:r>
    </w:p>
    <w:p>
      <w:pPr>
        <w:ind w:left="420"/>
      </w:pPr>
      <w:r>
        <w:t xml:space="preserve">2. an dem vorzeitigen Beginn ein öffentliches Interesse oder ein berechtigtes Interesse des Benutzers besteht und</w:t>
      </w:r>
    </w:p>
    <w:p>
      <w:pPr>
        <w:ind w:left="420"/>
      </w:pPr>
      <w:r>
        <w:t xml:space="preserve">3. der Benutzer sich verpflichtet, alle bis zur Entscheidung durch die Benutzung verursachten Schäden zu ersetzen und, falls die Benutzung nicht erlaubt oder bewilligt wird, den früheren Zustand wiederherzustellen.</w:t>
      </w:r>
    </w:p>
    <w:p>
      <w:r>
        <w:t xml:space="preserve">(2) Die Zulassung des vorzeitigen Beginns kann jederzeit widerrufen werden. § 13 gilt entsprechend.</w:t>
      </w:r>
    </w:p>
    <w:p>
      <w:r>
        <w:rPr>
          <w:color w:val="555555"/>
          <w:sz w:val="17"/>
        </w:rPr>
        <w:t xml:space="preserve">Zitiervorschlag: § 17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