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WHG 2009 — Gehobene Erlaubnis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kann als gehobene Erlaubnis erteilt werden, wenn hierfür ein öffentliches Interesse oder ein berechtigtes Interesse des Gewässerbenutzers besteht. Eine gehobene Erlaubnis darf für Gewässerbenutzungen nach § 9 Absatz 2 Nummer 3 und 4 nicht erteilt werden.</w:t>
      </w:r>
    </w:p>
    <w:p>
      <w:r>
        <w:t xml:space="preserve">(2) Für die gehobene Erlaubnis gelten § 11 Absatz 2 und § 14 Absatz 3 bis 5 entsprechend.</w:t>
      </w:r>
    </w:p>
    <w:p>
      <w:r>
        <w:rPr>
          <w:color w:val="555555"/>
          <w:sz w:val="17"/>
        </w:rPr>
        <w:t xml:space="preserve">Zitiervorschlag: § 15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