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13b WHG 2009 — Antragsunterlagen und Überwachung bei bestimmten Gewässerbenutzungen; Stoffregister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Antrag auf Erteilung einer Erlaubnis für eine Gewässerbenutzung nach § 9 Absatz 2 Nummer 3 oder Nummer 4 muss insbesondere die Angaben nach § 2 Absatz 1 Nummer 3 der Verordnung über die Umweltverträglichkeitsprüfung bergbaulicher Vorhaben vom 13. Juli 1990 (BGBl. I S.1420), die zuletzt durch Artikel 1 der Verordnung vom 4. August 2016 (BGBl. I S. 1957) geändert worden ist, enthalten. Die zuständige Behörde hat die Angaben nach § 2 Absatz 1 Nummer 3 Buchstabe a dieser Verordnung innerhalb von zwei Wochen nach Antragstellung im Internet zu veröffentlichen.</w:t>
      </w:r>
    </w:p>
    <w:p>
      <w:r>
        <w:t xml:space="preserve">(2) In der Erlaubnis für Gewässerbenutzungen nach § 9 Absatz 2 Nummer 3 und 4 ist insbesondere zu regeln, wie</w:t>
      </w:r>
    </w:p>
    <w:p>
      <w:pPr>
        <w:ind w:left="420"/>
      </w:pPr>
      <w:r>
        <w:t xml:space="preserve">1. die Beschaffenheit des Grundwassers und oberirdischer Gewässer im Einwirkungsbereich der Maßnahmen regelmäßig während und nach deren Durchführung zu überwachen und</w:t>
      </w:r>
    </w:p>
    <w:p>
      <w:pPr>
        <w:ind w:left="420"/>
      </w:pPr>
      <w:r>
        <w:t xml:space="preserve">2. über die Ergebnisse der Überwachung der zuständigen Behörde schriftlich oder elektronisch zu berichten ist.</w:t>
      </w:r>
    </w:p>
    <w:p>
      <w:r>
        <w:t xml:space="preserve">(3) In der Erlaubnis für Gewässerbenutzungen nach § 9 Absatz 2 Nummer 3 ist darüber hinaus insbesondere die regelmäßige Überwachung nach § 22b Satz 1 Nummer 2 und 3 der Allgemeinen Bundesbergverordnung sowie die Pflicht, der zuständigen Behörde über die Ergebnisse der Überwachung schriftlich oder elektronisch zu berichten, näher zu regeln.</w:t>
      </w:r>
    </w:p>
    <w:p>
      <w:r>
        <w:t xml:space="preserve">(4) Der Inhaber der Erlaubnis hat die zuständige Behörde unverzüglich zu unterrichten über nachteilige Veränderungen der Beschaffenheit des Grundwassers, eines oberirdischen Gewässers oder des Bodens infolge von</w:t>
      </w:r>
    </w:p>
    <w:p>
      <w:pPr>
        <w:ind w:left="420"/>
      </w:pPr>
      <w:r>
        <w:t xml:space="preserve">1. Benutzungen nach § 9 Absatz 2 Nummer 3 oder Nummer 4 oder</w:t>
      </w:r>
    </w:p>
    <w:p>
      <w:pPr>
        <w:ind w:left="420"/>
      </w:pPr>
      <w:r>
        <w:t xml:space="preserve">2. Benutzungen nach § 9 Absatz 1 Nummer 4 oder Nummer 5, die im Zusammenhang mit Benutzungen nach § 9 Absatz 2 Nummer 3 oder Nummer 4 stehen.</w:t>
      </w:r>
    </w:p>
    <w:p>
      <w:r>
        <w:t xml:space="preserve">Die zuständige Behörde hat Informationen nach Satz 1 innerhalb von zwei Wochen nach der Unterrichtung im Internet zu veröffentlichen.</w:t>
      </w:r>
    </w:p>
    <w:p>
      <w:r>
        <w:t xml:space="preserve">(5) Durch Rechtsverordnung nach § 23 Absatz 1 Nummer 11 kann die Errichtung und Führung eines für jedermann frei und unentgeltlich zugänglichen internetgestützten Registers für Stoffe geregelt werden, die bei Gewässerbenutzungen nach § 9 Absatz 2 Nummer 3 und 4 verwendet oder abgelagert werden.</w:t>
      </w:r>
    </w:p>
    <w:p>
      <w:r>
        <w:rPr>
          <w:color w:val="555555"/>
          <w:sz w:val="17"/>
        </w:rPr>
        <w:t xml:space="preserve">Zitiervorschlag: § 13b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https://recht.nulegal.eu/gesetze/WHG%202009/13b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