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WHG 2009 — Voraussetzungen für die Erteilung der Erlaubnis und der Bewilligung, Bewirtschaftungsermessen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Erlaubnis und die Bewilligung sind zu versagen, wenn</w:t>
      </w:r>
    </w:p>
    <w:p>
      <w:pPr>
        <w:ind w:left="420"/>
      </w:pPr>
      <w:r>
        <w:t xml:space="preserve">1. schädliche, auch durch Nebenbestimmungen nicht vermeidbare oder nicht ausgleichbare Gewässerveränderungen zu erwarten sind oder</w:t>
      </w:r>
    </w:p>
    <w:p>
      <w:pPr>
        <w:ind w:left="420"/>
      </w:pPr>
      <w:r>
        <w:t xml:space="preserve">2. andere Anforderungen nach öffentlich-rechtlichen Vorschriften nicht erfüllt werden.</w:t>
      </w:r>
    </w:p>
    <w:p>
      <w:r>
        <w:t xml:space="preserve">(2) Im Übrigen steht die Erteilung der Erlaubnis und der Bewilligung im pflichtgemäßen Ermessen (Bewirtschaftungsermessen) der zuständigen Behörde.</w:t>
      </w:r>
    </w:p>
    <w:p>
      <w:r>
        <w:rPr>
          <w:color w:val="555555"/>
          <w:sz w:val="17"/>
        </w:rPr>
        <w:t xml:space="preserve">Zitiervorschlag: § 12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