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104a WHG 2009 — Ausnahmen von der Erlaubnispflicht bei bestehenden Anlagen zur untertägigen Ablagerung von Lagerstättenwasser</w:t>
      </w:r>
    </w:p>
    <w:p>
      <w:r>
        <w:rPr>
          <w:color w:val="555555"/>
          <w:sz w:val="18"/>
        </w:rPr>
        <w:t xml:space="preserve">Wasserhaushaltsgesetz</w:t>
      </w:r>
    </w:p>
    <w:p>
      <w:r>
        <w:rPr>
          <w:color w:val="555555"/>
          <w:sz w:val="18"/>
        </w:rPr>
        <w:t xml:space="preserve">Stand: 10.06.2019 (konsolidierte Textfassung, kein amtliches Inkrafttretensdatum)</w:t>
      </w:r>
    </w:p>
    <w:p>
      <w:r>
        <w:t xml:space="preserve">(1) Die Nutzung einer Anlage zur untertägigen Ablagerung von Lagerstättenwasser, das bei Maßnahmen nach § 9 Absatz 2 Nummer 3 oder bei anderen Maßnahmen zur Aufsuchung oder Gewinnung von Erdgas oder Erdöl anfällt, bedarf unbeschadet des Absatzes 2 keiner Erlaubnis nach § 8 Absatz 1, wenn die Anlage vor dem 11. Februar 2017 in Übereinstimmung mit einem bestandskräftig zugelassenen Betriebsplan nach § 52 des Bundesberggesetzes errichtet worden ist oder zu diesem Zeitpunkt ein bestandskräftig zugelassener Betriebsplan für die Anlage vorliegt. In diesen Fällen sind die sich aus § 13b Absatz 2 und 3 ergebenden Verpflichtungen in den jeweiligen Zulassungen von künftig gemäß § 52 Absatz 1 Satz 1 des Bundesberggesetzes aufzustellenden Hauptbetriebsplänen spätestens bis zum 11. Februar 2019 zu regeln. § 13b Absatz 4 gilt für den Unternehmer im Sinne von § 4 Absatz 5 des Bundesberggesetzes in diesen Fällen entsprechend.</w:t>
      </w:r>
    </w:p>
    <w:p>
      <w:r>
        <w:t xml:space="preserve">(2) Die Nutzung einer Anlage nach Absatz 1 Satz 1, die nach § 22c Absatz 1 Satz 3 der Allgemeinen Bundesbergverordnung nicht mehr zulässig ist, bedarf keiner Erlaubnis nach § 8 Absatz 1, wenn der Anlagenbetreiber spätestens bis zum 11. Februar 2019 grundsätzlich zulassungsfähige Anträge für Zulassungen für eine anderweitige Entsorgung des Lagerstättenwassers (Entsorgungskonzept) vorlegt und hierfür eine behördliche Bestätigung nach Satz 4 vorliegt. Aus dem Entsorgungskonzept muss sich ergeben, wie das Lagerstättenwasser künftig entsorgt werden soll, sodass insbesondere folgende Anforderungen erfüllt sind:</w:t>
      </w:r>
    </w:p>
    <w:p>
      <w:pPr>
        <w:ind w:left="420"/>
      </w:pPr>
      <w:r>
        <w:t xml:space="preserve">1. die Anforderungen nach § 22c Absatz 1 Satz 3 der Allgemeinen Bundesbergverordnung und</w:t>
      </w:r>
    </w:p>
    <w:p>
      <w:pPr>
        <w:ind w:left="420"/>
      </w:pPr>
      <w:r>
        <w:t xml:space="preserve">2. die Anforderungen nach § 13a Absatz 1 Satz 1 Nummer 2 Buchstabe a und b.</w:t>
      </w:r>
    </w:p>
    <w:p>
      <w:r>
        <w:t xml:space="preserve">Die Sätze 1 und 2 gelten entsprechend, wenn die Anlage nach Absatz 1 Satz 1 in einem Gebiet nach § 13a Absatz 1 Satz 1 Nummer 2 Buchstabe a oder Buchstabe b liegt. Sofern die zuständige Behörde die grundsätzliche Zulassungsfähigkeit der Anträge bestätigt, ist die Nutzung der Anlage in den Fällen der Sätze 1 und 3 spätestens am 11. Februar 2022 einzustellen. Andernfalls ist die Nutzung der Anlage in den Fällen der Sätze 1 und 3 spätestens am 11. Februar 2020 einzustellen. Die Sätze 3 bis 5 gelten nicht, soweit die Ablagerung des Lagerstättenwassers für die Schutzzone III eines festgesetzten Wasserschutzgebietes oder eines festgesetzten Heilquellenschutzgebietes ausnahmsweise zugelassen wird</w:t>
      </w:r>
    </w:p>
    <w:p>
      <w:pPr>
        <w:ind w:left="420"/>
      </w:pPr>
      <w:r>
        <w:t xml:space="preserve">1. in einer Rechtsverordnung nach § 51 Absatz 1, auch in Verbindung mit § 53 Absatz 5 oder</w:t>
      </w:r>
    </w:p>
    <w:p>
      <w:pPr>
        <w:ind w:left="420"/>
      </w:pPr>
      <w:r>
        <w:t xml:space="preserve">2. durch behördliche Entscheidung; § 52 Absatz 1 Satz 2 und 3, auch in Verbindung mit § 53 Absatz 5, gilt entsprechend.</w:t>
      </w:r>
    </w:p>
    <w:p>
      <w:r>
        <w:rPr>
          <w:color w:val="555555"/>
          <w:sz w:val="17"/>
        </w:rPr>
        <w:t xml:space="preserve">Zitiervorschlag: § 104a WHG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https://recht.nulegal.eu/gesetze/WHG%202009/104a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