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104 WHG 2009 — Überleitung bestehender Erlaubnisse und Bewilligungen</w:t>
      </w:r>
    </w:p>
    <w:p>
      <w:r>
        <w:rPr>
          <w:color w:val="555555"/>
          <w:sz w:val="18"/>
        </w:rPr>
        <w:t xml:space="preserve">Wasserhaushaltsgesetz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Erlaubnisse, die vor dem 1. März 2010 nach § 7 des Wasserhaushaltsgesetzes erteilt worden sind, gelten als Erlaubnisse nach diesem Gesetz fort. Soweit landesrechtliche Vorschriften für bestimmte Erlaubnisse nach Satz 1 die Rechtsstellung ihrer Inhaber gegenüber Dritten regeln, gelten die Erlaubnisse nach den Vorschriften dieses Gesetzes über gehobene Erlaubnisse fort.</w:t>
      </w:r>
    </w:p>
    <w:p>
      <w:r>
        <w:t xml:space="preserve">(2) Bewilligungen, die vor dem 1. März 2010 nach § 8 des Wasserhaushaltsgesetzes erteilt worden sind, gelten als Bewilligungen nach diesem Gesetz fort.</w:t>
      </w:r>
    </w:p>
    <w:p>
      <w:r>
        <w:rPr>
          <w:color w:val="555555"/>
          <w:sz w:val="17"/>
        </w:rPr>
        <w:t xml:space="preserve">Zitiervorschlag: § 104 WHG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https://recht.nulegal.eu/gesetze/WHG%202009/104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