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WHG 2009 — Zweck</w:t>
      </w:r>
    </w:p>
    <w:p>
      <w:r>
        <w:rPr>
          <w:color w:val="555555"/>
          <w:sz w:val="18"/>
        </w:rPr>
        <w:t xml:space="preserve">Wasserhaushaltsgesetz</w:t>
      </w:r>
    </w:p>
    <w:p>
      <w:r>
        <w:rPr>
          <w:color w:val="555555"/>
          <w:sz w:val="18"/>
        </w:rPr>
        <w:t xml:space="preserve">Stand: 10.06.2019 (konsolidierte Textfassung, kein amtliches Inkrafttretensdatum)</w:t>
      </w:r>
    </w:p>
    <w:p>
      <w:r>
        <w:t xml:space="preserve">Zweck dieses Gesetzes ist es, durch eine nachhaltige Gewässerbewirtschaftung die Gewässer als Bestandteil des Naturhaushalts, als Lebensgrundlage des Menschen, als Lebensraum für Tiere und Pflanzen sowie als nutzbares Gut zu schützen.</w:t>
      </w:r>
    </w:p>
    <w:p>
      <w:r>
        <w:rPr>
          <w:color w:val="555555"/>
          <w:sz w:val="17"/>
        </w:rPr>
        <w:t xml:space="preserve">Zitiervorschlag: § 1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