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WGVG — Feststellung des Grund und Bodens</w:t>
      </w:r>
    </w:p>
    <w:p>
      <w:r>
        <w:rPr>
          <w:color w:val="555555"/>
          <w:sz w:val="18"/>
        </w:rPr>
        <w:t xml:space="preserve">Wohnungsgenossenschafts-Vermögensgesetz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Feststellung, in welchem Umfang die Wohnungsgenossenschaften Eigentümer von Grund und Boden sind, findet das Vermögenszuordnungsgesetz Anwendung. Zuständig ist der Oberfinanzpräsident oder eine von ihm zu ermächtigende Person gemäß § 1 Abs. 1 Satz 1 Nr. 2 und Satz 5 des Vermögenszuordnungsgesetzes. Die Wohnungsgenossenschaften sind entsprechend § 2 des Vermögenszuordnungsgesetzes antragsberechtigt.</w:t>
      </w:r>
    </w:p>
    <w:p>
      <w:r>
        <w:t xml:space="preserve">(2) Hat die Gemeinde vor dem 27. Juni 1993 nach § 2 des Vermögenszuordnungsgesetzes einen Antrag gestellt, der sich auch auf das in Absatz 1 bezeichnete Grundvermögen bezieht, wird das Verfahren nach dem Vermögenszuordnungsgesetz unter Berücksichtigung des Eigentumsübergangs nach § 2 Abs. 1 fortgeführt; betroffene Wohnungsgenossenschaften sind zu beteiligen. § 2 Abs. 2a des Vermögenszuordnungsgesetzes bleibt unberührt.</w:t>
      </w:r>
    </w:p>
    <w:p>
      <w:r>
        <w:t xml:space="preserve">(3) Ist vor dem 27. Juni 1993 ein Bescheid nach dem Vermögenszuordnungsgesetz bestandskräftig geworden, durch den der in § 1 Abs. 1 bezeichnete Grund und Boden einer Gemeinde zugeordnet ist, ist auf Antrag der Wohnungsgenossenschaft der Bescheid nach Maßgabe des § 1 Abs. 1 zu ändern. § 3 ist entsprechend anzuwenden.</w:t>
      </w:r>
    </w:p>
    <w:p>
      <w:r>
        <w:rPr>
          <w:color w:val="555555"/>
          <w:sz w:val="17"/>
        </w:rPr>
        <w:t xml:space="preserve">Zitiervorschlag: § 2 WGVG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https://recht.nulegal.eu/gesetze/WGVG/2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