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WGSVG — Grundsatz</w:t>
      </w:r>
    </w:p>
    <w:p>
      <w:r>
        <w:rPr>
          <w:color w:val="555555"/>
          <w:sz w:val="18"/>
        </w:rPr>
        <w:t xml:space="preserve">Gesetz zur Regelung der Wiedergutmachung nationalsozialistischen Unrechts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Teils ergänzen zugunsten von Verfolgten die allgemein anzuwendenden Vorschriften des Sechsten Buches Sozialgesetzbuch.</w:t>
      </w:r>
    </w:p>
    <w:p>
      <w:r>
        <w:rPr>
          <w:color w:val="555555"/>
          <w:sz w:val="17"/>
        </w:rPr>
        <w:t xml:space="preserve">Zitiervorschlag: § 7 WGSVG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https://recht.nulegal.eu/gesetze/WGSVG/7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