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WGSVG — Begriffsbestimmungen</w:t>
      </w:r>
    </w:p>
    <w:p>
      <w:r>
        <w:rPr>
          <w:color w:val="555555"/>
          <w:sz w:val="18"/>
        </w:rPr>
        <w:t xml:space="preserve">Gesetz zur Regelung der Wiedergutmachung nationalsozialistischen Unrechts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für Versicherte, die Verfolgte im Sinne des Bundesentschädigungsgesetzes sind (Verfolgte) und durch die Verfolgung Schaden in der Sozialversicherung erlitten haben, sowie für ihre Hinterbliebenen.</w:t>
      </w:r>
    </w:p>
    <w:p>
      <w:r>
        <w:t xml:space="preserve">(2) Im Sinne dieses Gesetzes sind</w:t>
      </w:r>
    </w:p>
    <w:p>
      <w:pPr>
        <w:ind w:left="420"/>
      </w:pPr>
      <w:r>
        <w:t xml:space="preserve">1. Verfolgungszeiten die Ersatzzeiten des § 250 Abs. 1 Nr. 4 des Sechsten Buches Sozialgesetzbuch,</w:t>
      </w:r>
    </w:p>
    <w:p>
      <w:pPr>
        <w:ind w:left="420"/>
      </w:pPr>
      <w:r>
        <w:t xml:space="preserve">2. Verfolgungsgründe diejenigen des § 1 des Bundesentschädigungsgesetzes,</w:t>
      </w:r>
    </w:p>
    <w:p>
      <w:pPr>
        <w:ind w:left="420"/>
      </w:pPr>
      <w:r>
        <w:t xml:space="preserve">3. pflichtversicherte Verfolgte diejenigen Versicherten, deren rentenversicherungspflichtige Beschäftigung oder Tätigkeit aus Verfolgungsgründen unterbrochen oder beendet worden ist oder für die bis zum Beginn der Verfolgung</w:t>
      </w:r>
    </w:p>
    <w:p>
      <w:pPr>
        <w:ind w:left="780"/>
      </w:pPr>
      <w:r>
        <w:t xml:space="preserve">a) eine Anrechnungszeit wegen Krankheit, Schwangerschaft oder Mutterschutz oder wegen Arbeitslosigkeit,</w:t>
      </w:r>
    </w:p>
    <w:p>
      <w:pPr>
        <w:ind w:left="780"/>
      </w:pPr>
      <w:r>
        <w:t xml:space="preserve">b) eine Ersatzzeit (§ 250 Sechstes Buch Sozialgesetzbuch), die eine rentenversicherungspflichtige Beschäftigung oder Tätigkeit unterbrochen oder beendet hat,</w:t>
      </w:r>
    </w:p>
    <w:p>
      <w:r>
        <w:t xml:space="preserve">vorliegt.</w:t>
      </w:r>
    </w:p>
    <w:p>
      <w:r>
        <w:rPr>
          <w:color w:val="555555"/>
          <w:sz w:val="17"/>
        </w:rPr>
        <w:t xml:space="preserve">Zitiervorschlag: § 1 WGSVG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https://recht.nulegal.eu/gesetze/WGSVG/1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