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WGSVGÄndG</w:t>
      </w:r>
    </w:p>
    <w:p>
      <w:r>
        <w:rPr>
          <w:color w:val="555555"/>
          <w:sz w:val="18"/>
        </w:rPr>
        <w:t xml:space="preserve">Gesetz zur Änderung und Ergänzung der Vorschriften über die Wiedergutmachung nationalsozialistischen Unrechts in der Sozialversicherung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dem Ersten des auf die Verkündung folgenden zweiten Kalendermonats in Kraft.</w:t>
      </w:r>
    </w:p>
    <w:p>
      <w:r>
        <w:t xml:space="preserve">(2) Mit dem Inkrafttreten dieses Gesetzes treten außer Kraft: ...</w:t>
      </w:r>
    </w:p>
    <w:p>
      <w:pPr>
        <w:ind w:left="420"/>
      </w:pPr>
      <w:r>
        <w:t xml:space="preserve">c) alle sonstigen diesem Gesetz entgegenstehenden oder gleichlautenden Vorschriften.</w:t>
      </w:r>
    </w:p>
    <w:p>
      <w:r>
        <w:rPr>
          <w:color w:val="555555"/>
          <w:sz w:val="17"/>
        </w:rPr>
        <w:t xml:space="preserve">Zitiervorschlag: § 5 WGSVGÄndG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https://recht.nulegal.eu/gesetze/WGSVG%C3%84ndG/5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