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WGSVGÄndG</w:t>
      </w:r>
    </w:p>
    <w:p>
      <w:r>
        <w:rPr>
          <w:color w:val="555555"/>
          <w:sz w:val="18"/>
        </w:rPr>
        <w:t xml:space="preserve">Gesetz zur Änderung und Ergänzung der Vorschriften über die Wiedergutmachung nationalsozialistischen Unrechts in der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§ 4 WGSVGÄndG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https://recht.nulegal.eu/gesetze/WGSVG%C3%84ndG/4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