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93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Wirkungen der Verpflichtungserklärungen des Annehmers eines gezogenen Wechsels und des Ausstellers eines eigenen Wechsels bestimmen sich nach dem Recht des Zahlungsortes.</w:t>
      </w:r>
    </w:p>
    <w:p>
      <w:r>
        <w:t xml:space="preserve">(2) Die Wirkungen der übrigen Wechselerklärungen bestimmen sich nach dem Recht des Landes, in dessen Gebiet die Erklärungen unterschrieben worden sind.</w:t>
      </w:r>
    </w:p>
    <w:p>
      <w:r>
        <w:rPr>
          <w:color w:val="555555"/>
          <w:sz w:val="17"/>
        </w:rPr>
        <w:t xml:space="preserve">Zitiervorschlag: Art 93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