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91 WG</w:t>
      </w:r>
    </w:p>
    <w:p>
      <w:r>
        <w:rPr>
          <w:color w:val="555555"/>
          <w:sz w:val="18"/>
        </w:rPr>
        <w:t xml:space="preserve">Wechselgesetz</w:t>
      </w:r>
    </w:p>
    <w:p>
      <w:r>
        <w:rPr>
          <w:color w:val="555555"/>
          <w:sz w:val="18"/>
        </w:rPr>
        <w:t xml:space="preserve">Stand: 10.06.2019 (konsolidierte Textfassung, kein amtliches Inkrafttretensdatum)</w:t>
      </w:r>
    </w:p>
    <w:p>
      <w:r>
        <w:t xml:space="preserve">(1) Die Fähigkeit einer Person, eine Wechselverbindlichkeit einzugehen, bestimmt sich nach dem Recht des Landes, dem sie angehört. Erklärt dieses Recht das Recht eines anderen Landes für maßgebend, so ist das letztere Recht anzuwenden.</w:t>
      </w:r>
    </w:p>
    <w:p>
      <w:r>
        <w:t xml:space="preserve">(2) Wer nach dem in vorstehendem Absatz bezeichneten Recht nicht wechselfähig ist, wird gleichwohl gültig verpflichtet, wenn die Unterschrift in dem Gebiet eines Landes abgegeben worden ist, nach dessen Recht er wechselfähig wäre. Diese Vorschrift findet keine Anwendung, wenn die Verbindlichkeit von einem Inländer im Ausland übernommen worden ist.</w:t>
      </w:r>
    </w:p>
    <w:p>
      <w:r>
        <w:rPr>
          <w:color w:val="555555"/>
          <w:sz w:val="17"/>
        </w:rPr>
        <w:t xml:space="preserve">Zitiervorschlag: Art 91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