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WG</w:t>
      </w:r>
    </w:p>
    <w:p>
      <w:r>
        <w:rPr>
          <w:color w:val="555555"/>
          <w:sz w:val="18"/>
        </w:rPr>
        <w:t xml:space="preserve">Wechselgesetz</w:t>
      </w:r>
    </w:p>
    <w:p>
      <w:r>
        <w:rPr>
          <w:color w:val="555555"/>
          <w:sz w:val="18"/>
        </w:rPr>
        <w:t xml:space="preserve">Stand: 10.06.2019 (konsolidierte Textfassung, kein amtliches Inkrafttretensdatum)</w:t>
      </w:r>
    </w:p>
    <w:p>
      <w:r>
        <w:t xml:space="preserve">(1) Die Vorlegung zur Annahme oder Zahlung, die Protesterhebung, die Abforderung einer Ausfertigung sowie alle sonstigen bei einer bestimmten Person vorzunehmenden Handlungen müssen in deren Geschäftsräumen oder, wenn sich solche nicht ermitteln lassen, in deren Wohnung vorgenommen werden. An einer anderen Stelle, insbesondere an der Börse, kann dies nur mit beiderseitigem Einverständnis geschehen.</w:t>
      </w:r>
    </w:p>
    <w:p>
      <w:r>
        <w:t xml:space="preserve">(2) Ist in dem Protest vermerkt, daß sich die Geschäftsräume oder die Wohnung nicht haben ermitteln lassen, so ist der Protest nicht deshalb unwirksam, weil die Ermittlung möglich war.</w:t>
      </w:r>
    </w:p>
    <w:p>
      <w:r>
        <w:t xml:space="preserve">(3) Die Verantwortlichkeit des Protestbeamten, der es unterläßt, geeignete Ermittlungen anzustellen, wird durch die Vorschrift des zweiten Absatzes nicht berührt. Ist eine Nachfrage bei der Polizeibehörde des Ortes ohne Erfolg geblieben, so ist der Protestbeamte zu weiteren Nachforschungen nicht verpflichtet.</w:t>
      </w:r>
    </w:p>
    <w:p>
      <w:r>
        <w:rPr>
          <w:color w:val="555555"/>
          <w:sz w:val="17"/>
        </w:rPr>
        <w:t xml:space="preserve">Zitiervorschlag: Art 87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