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WG</w:t>
      </w:r>
    </w:p>
    <w:p>
      <w:r>
        <w:rPr>
          <w:color w:val="555555"/>
          <w:sz w:val="18"/>
        </w:rPr>
        <w:t xml:space="preserve">Wechselgesetz</w:t>
      </w:r>
    </w:p>
    <w:p>
      <w:r>
        <w:rPr>
          <w:color w:val="555555"/>
          <w:sz w:val="18"/>
        </w:rPr>
        <w:t xml:space="preserve">Stand: 10.06.2019 (konsolidierte Textfassung, kein amtliches Inkrafttretensdatum)</w:t>
      </w:r>
    </w:p>
    <w:p>
      <w:r>
        <w:t xml:space="preserve">Wer auf einen Wechsel seine Unterschrift als Vertreter eines anderen setzt, ohne hierzu ermächtigt zu sein, haftet selbst wechselmäßig und hat, wenn er den Wechsel einlöst, dieselben Rechte, die der angeblich Vertretene haben würde. Das gleiche gilt von einem Vertreter, der seine Vertretungsbefugnis überschritten hat.</w:t>
      </w:r>
    </w:p>
    <w:p>
      <w:r>
        <w:rPr>
          <w:color w:val="555555"/>
          <w:sz w:val="17"/>
        </w:rPr>
        <w:t xml:space="preserve">Zitiervorschlag: Art 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