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74 WG</w:t>
      </w:r>
    </w:p>
    <w:p>
      <w:r>
        <w:rPr>
          <w:color w:val="555555"/>
          <w:sz w:val="18"/>
        </w:rPr>
        <w:t xml:space="preserve">Wechselgesetz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Weder gesetzliche noch richterliche Respekttage werden anerkannt.</w:t>
      </w:r>
    </w:p>
    <w:p>
      <w:r>
        <w:rPr>
          <w:color w:val="555555"/>
          <w:sz w:val="17"/>
        </w:rPr>
        <w:t xml:space="preserve">Zitiervorschlag: Art 74 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https://recht.nulegal.eu/gesetze/WG/74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