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67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 Inhaber eines Wechsels ist befugt, Abschriften davon herzustellen.</w:t>
      </w:r>
    </w:p>
    <w:p>
      <w:r>
        <w:t xml:space="preserve">(2) Die Abschrift muß die Urschrift mit den Indossamenten und allen anderen darauf befindlichen Vermerken genau wiedergeben. Es muß angegeben sein, wie weit die Abschrift reicht.</w:t>
      </w:r>
    </w:p>
    <w:p>
      <w:r>
        <w:t xml:space="preserve">(3) Die Abschrift kann auf dieselbe Weise und mit denselben Wirkungen indossiert und mit einer Bürgschaftserklärung versehen werden wie die Urschrift.</w:t>
      </w:r>
    </w:p>
    <w:p>
      <w:r>
        <w:rPr>
          <w:color w:val="555555"/>
          <w:sz w:val="17"/>
        </w:rPr>
        <w:t xml:space="preserve">Zitiervorschlag: Art 67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