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62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Ehrenzahlung ist auf dem Wechsel eine Quittung auszustellen, die denjenigen bezeichnet, für den gezahlt wird. Fehlt die Bezeichnung, so gilt die Zahlung für den Aussteller.</w:t>
      </w:r>
    </w:p>
    <w:p>
      <w:r>
        <w:t xml:space="preserve">(2) Der Wechsel und der etwa erhobene Protest sind dem Ehrenzahler auszuhändigen.</w:t>
      </w:r>
    </w:p>
    <w:p>
      <w:r>
        <w:rPr>
          <w:color w:val="555555"/>
          <w:sz w:val="17"/>
        </w:rPr>
        <w:t xml:space="preserve">Zitiervorschlag: Art 62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