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59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Ehrenzahlung ist in allen Fällen zulässig, in denen der Inhaber bei Verfall oder vor Verfall Rückgriff nehmen kann.</w:t>
      </w:r>
    </w:p>
    <w:p>
      <w:r>
        <w:t xml:space="preserve">(2) Die Ehrenzahlung muß den vollen Betrag umfassen, den der Wechselverpflichtete, für den sie stattfindet, zahlen müßte.</w:t>
      </w:r>
    </w:p>
    <w:p>
      <w:r>
        <w:t xml:space="preserve">(3) Sie muß spätestens am Tag nach Ablauf der Frist für die Erhebung des Protests mangels Zahlung stattfinden.</w:t>
      </w:r>
    </w:p>
    <w:p>
      <w:r>
        <w:rPr>
          <w:color w:val="555555"/>
          <w:sz w:val="17"/>
        </w:rPr>
        <w:t xml:space="preserve">Zitiervorschlag: Art 59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