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WG</w:t>
      </w:r>
    </w:p>
    <w:p>
      <w:r>
        <w:rPr>
          <w:color w:val="555555"/>
          <w:sz w:val="18"/>
        </w:rPr>
        <w:t xml:space="preserve">Wechselgesetz</w:t>
      </w:r>
    </w:p>
    <w:p>
      <w:r>
        <w:rPr>
          <w:color w:val="555555"/>
          <w:sz w:val="18"/>
        </w:rPr>
        <w:t xml:space="preserve">Stand: 10.06.2019 (konsolidierte Textfassung, kein amtliches Inkrafttretensdatum)</w:t>
      </w:r>
    </w:p>
    <w:p>
      <w:r>
        <w:t xml:space="preserve">(1) Wer zu Ehren annimmt, haftet dem Inhaber und den Nachmännern desjenigen, für den er eingetreten ist, in der gleichen Weise wie dieser selbst.</w:t>
      </w:r>
    </w:p>
    <w:p>
      <w:r>
        <w:t xml:space="preserve">(2) Trotz der Ehrenannahme können der Wechselverpflichtete, zu dessen Ehren der Wechsel angenommen worden ist, und seine Vormänner vom Inhaber gegen Erstattung des in Artikel 48 angegebenen Betrags die Aushändigung des Wechsels und gegebenenfalls des erhobenen Protestes sowie einer quittierten Rechnung verlangen.</w:t>
      </w:r>
    </w:p>
    <w:p>
      <w:r>
        <w:rPr>
          <w:color w:val="555555"/>
          <w:sz w:val="17"/>
        </w:rPr>
        <w:t xml:space="preserve">Zitiervorschlag: Art 58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