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56 WG</w:t>
      </w:r>
    </w:p>
    <w:p>
      <w:r>
        <w:rPr>
          <w:color w:val="555555"/>
          <w:sz w:val="18"/>
        </w:rPr>
        <w:t xml:space="preserve">Wechselgesetz</w:t>
      </w:r>
    </w:p>
    <w:p>
      <w:r>
        <w:rPr>
          <w:color w:val="555555"/>
          <w:sz w:val="18"/>
        </w:rPr>
        <w:t xml:space="preserve">Stand: 10.06.2019 (konsolidierte Textfassung, kein amtliches Inkrafttretensdatum)</w:t>
      </w:r>
    </w:p>
    <w:p>
      <w:r>
        <w:t xml:space="preserve">(1) Die Ehrenannahme ist in allen Fällen zulässig, in denen der Inhaber vor Verfall Rückgriff nehmen kann, es sei denn, daß es sich um einen Wechsel handelt, dessen Vorlegung zur Annahme untersagt ist.</w:t>
      </w:r>
    </w:p>
    <w:p>
      <w:r>
        <w:t xml:space="preserve">(2) Ist auf dem Wechsel eine Person angegeben, die im Notfall am Zahlungsort annehmen oder zahlen soll, so kann der Inhaber vor Verfall gegen denjenigen, der die Notadresse beigefügt hat, und gegen seine Nachmänner nur Rückgriff nehmen, wenn er den Wechsel der in der Notadresse bezeichneten Person vorgelegt hat und im Falle der Verweigerung der Ehrenannahme die Verweigerung durch einen Protest hat feststellen lassen.</w:t>
      </w:r>
    </w:p>
    <w:p>
      <w:r>
        <w:t xml:space="preserve">(3) In den anderen Fällen des Ehreneintritts kann der Inhaber die Ehrenannahme zurückweisen. Läßt er sie aber zu, so verliert er den Rückgriff vor Verfall gegen denjenigen, zu dessen Ehren die Annahme erklärt worden ist, und gegen dessen Nachmänner.</w:t>
      </w:r>
    </w:p>
    <w:p>
      <w:r>
        <w:rPr>
          <w:color w:val="555555"/>
          <w:sz w:val="17"/>
        </w:rPr>
        <w:t xml:space="preserve">Zitiervorschlag: Art 56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