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WG</w:t>
      </w:r>
    </w:p>
    <w:p>
      <w:r>
        <w:rPr>
          <w:color w:val="555555"/>
          <w:sz w:val="18"/>
        </w:rPr>
        <w:t xml:space="preserve">Wechselgesetz</w:t>
      </w:r>
    </w:p>
    <w:p>
      <w:r>
        <w:rPr>
          <w:color w:val="555555"/>
          <w:sz w:val="18"/>
        </w:rPr>
        <w:t xml:space="preserve">Stand: 10.06.2019 (konsolidierte Textfassung, kein amtliches Inkrafttretensdatum)</w:t>
      </w:r>
    </w:p>
    <w:p>
      <w:r>
        <w:t xml:space="preserve">(1) Steht der rechtzeitigen Vorlegung des Wechsels oder der rechtzeitigen Erhebung des Protestes ein unüberwindliches Hindernis entgegen (gesetzliche Vorschrift eines Staates oder ein anderer Fall höherer Gewalt), so werden die für diese Handlungen bestimmten Fristen verlängert.</w:t>
      </w:r>
    </w:p>
    <w:p>
      <w:r>
        <w:t xml:space="preserve">(2) Der Inhaber ist verpflichtet, seinen unmittelbaren Vormann von dem Falle der höheren Gewalt unverzüglich zu benachrichtigen und die Benachrichtigung unter Beifügung des Tages und Ortes sowie seiner Unterschrift auf dem Wechsel oder einem Anhang zu vermerken; im übrigen finden die Vorschriften des Artikels 45 Anwendung.</w:t>
      </w:r>
    </w:p>
    <w:p>
      <w:r>
        <w:t xml:space="preserve">(3) Fällt die höhere Gewalt weg, so muß der Inhaber den Wechsel unverzüglich zur Annahme oder zur Zahlung vorlegen und gegebenenfalls Protest erheben lassen.</w:t>
      </w:r>
    </w:p>
    <w:p>
      <w:r>
        <w:t xml:space="preserve">(4) Dauert die höhere Gewalt länger als dreißig Tage nach Verfall, so kann Rückgriff genommen werden, ohne daß es der Vorlegung oder der Protesterhebung bedarf.</w:t>
      </w:r>
    </w:p>
    <w:p>
      <w:r>
        <w:t xml:space="preserve">(5) Bei Wechseln, die auf Sicht oder auf eine bestimmte Zeit nach Sicht lauten, läuft die dreißigtägige Frist von dem Tage, an dem der Inhaber seinen Vormann von dem Fall der höheren Gewalt benachrichtigt hat; diese Nachricht kann schon vor Ablauf der Vorlegungsfrist gegeben werden. Bei Wechseln, die auf bestimmte Zeit nach Sicht lauten, verlängert sich die dreißigtägige Frist um die im Wechsel angegebene Nachsichtfrist.</w:t>
      </w:r>
    </w:p>
    <w:p>
      <w:r>
        <w:t xml:space="preserve">(6) Tatsachen, die rein persönlich den Inhaber oder denjenigen betreffen, den er mit der Vorlegung des Wechsels oder mit der Protesterhebung beauftragt hat, gelten nicht als Fälle höherer Gewalt.</w:t>
      </w:r>
    </w:p>
    <w:p>
      <w:r>
        <w:rPr>
          <w:color w:val="555555"/>
          <w:sz w:val="17"/>
        </w:rPr>
        <w:t xml:space="preserve">Zitiervorschlag: Art 54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