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WG</w:t>
      </w:r>
    </w:p>
    <w:p>
      <w:r>
        <w:rPr>
          <w:color w:val="555555"/>
          <w:sz w:val="18"/>
        </w:rPr>
        <w:t xml:space="preserve">Wechselgesetz</w:t>
      </w:r>
    </w:p>
    <w:p>
      <w:r>
        <w:rPr>
          <w:color w:val="555555"/>
          <w:sz w:val="18"/>
        </w:rPr>
        <w:t xml:space="preserve">Stand: 10.06.2019 (konsolidierte Textfassung, kein amtliches Inkrafttretensdatum)</w:t>
      </w:r>
    </w:p>
    <w:p>
      <w:pPr>
        <w:ind w:left="420"/>
      </w:pPr>
      <w:r>
        <w:t xml:space="preserve">(1) Mit der Versäumung der Fristen für die Vorlegung eines Wechsels, der auf Sicht oder auf eine bestimmte Zeit nach Sicht lautet,für die Erhebung des Protestes mangels Annahme oder mangels Zahlung,für die Vorlegung zur Zahlung im Falle des Vermerkes "ohne Kosten"</w:t>
      </w:r>
    </w:p>
    <w:p>
      <w:r>
        <w:t xml:space="preserve">verliert der Inhaber seine Rechte gegen die Indossanten, den Aussteller und alle anderen Wechselverpflichteten, mit Ausnahme des Annehmers.</w:t>
      </w:r>
    </w:p>
    <w:p>
      <w:r>
        <w:t xml:space="preserve">(2) Versäumt der Inhaber die vom Aussteller für die Vorlegung zur Annahme vorgeschriebene Frist, so verliert er das Recht, mangels Annahme und mangels Zahlung Rückgriff zu nehmen, sofern nicht der Wortlaut des Vermerkes ergibt, daß der Aussteller nur die Haftung für die Annahme hat ausschließen wollen.</w:t>
      </w:r>
    </w:p>
    <w:p>
      <w:r>
        <w:t xml:space="preserve">(3) Ist die Frist für die Vorlegung in einem Indossament enthalten, so kann sich nur der Indossant darauf berufen.</w:t>
      </w:r>
    </w:p>
    <w:p>
      <w:r>
        <w:rPr>
          <w:color w:val="555555"/>
          <w:sz w:val="17"/>
        </w:rPr>
        <w:t xml:space="preserve">Zitiervorschlag: Art 53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