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WG</w:t>
      </w:r>
    </w:p>
    <w:p>
      <w:r>
        <w:rPr>
          <w:color w:val="555555"/>
          <w:sz w:val="18"/>
        </w:rPr>
        <w:t xml:space="preserve">Wechselgesetz</w:t>
      </w:r>
    </w:p>
    <w:p>
      <w:r>
        <w:rPr>
          <w:color w:val="555555"/>
          <w:sz w:val="18"/>
        </w:rPr>
        <w:t xml:space="preserve">Stand: 10.06.2019 (konsolidierte Textfassung, kein amtliches Inkrafttretensdatum)</w:t>
      </w:r>
    </w:p>
    <w:p>
      <w:r>
        <w:t xml:space="preserve">(1) In einem Wechsel, der auf Sicht oder auf eine bestimmte Zeit nach Sicht lautet, kann der Aussteller bestimmen, daß die Wechselsumme zu verzinsen ist. Bei jedem anderen Wechsel gilt der Zinsvermerk als nicht geschrieben.</w:t>
      </w:r>
    </w:p>
    <w:p>
      <w:r>
        <w:t xml:space="preserve">(2) Der Zinsfuß ist im Wechsel anzugeben; fehlt diese Angabe, so gilt der Zinsvermerk als nicht geschrieben.</w:t>
      </w:r>
    </w:p>
    <w:p>
      <w:r>
        <w:t xml:space="preserve">(3) Die Zinsen laufen vom Tag der Ausstellung des Wechsels, sofern nicht ein anderer Tag bestimmt ist.</w:t>
      </w:r>
    </w:p>
    <w:p>
      <w:r>
        <w:rPr>
          <w:color w:val="555555"/>
          <w:sz w:val="17"/>
        </w:rPr>
        <w:t xml:space="preserve">Zitiervorschlag: Art 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