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WG</w:t>
      </w:r>
    </w:p>
    <w:p>
      <w:r>
        <w:rPr>
          <w:color w:val="555555"/>
          <w:sz w:val="18"/>
        </w:rPr>
        <w:t xml:space="preserve">Wechselgesetz</w:t>
      </w:r>
    </w:p>
    <w:p>
      <w:r>
        <w:rPr>
          <w:color w:val="555555"/>
          <w:sz w:val="18"/>
        </w:rPr>
        <w:t xml:space="preserve">Stand: 10.06.2019 (konsolidierte Textfassung, kein amtliches Inkrafttretensdatum)</w:t>
      </w:r>
    </w:p>
    <w:p>
      <w:r>
        <w:t xml:space="preserve">(1) Die Verweigerung der Annahme oder der Zahlung muß durch eine öffentliche Urkunde (Protest mangels Annahme oder mangels Zahlung) festgestellt werden.</w:t>
      </w:r>
    </w:p>
    <w:p>
      <w:r>
        <w:t xml:space="preserve">(2) Der Protest mangels Annahme muß innerhalb der Frist erhoben werden, die für die Vorlegung zur Annahme gilt. Ist im Fall des Artikels 24 Abs. 1 der Wechsel am letzten Tage der Frist zum ersten Mal vorgelegt worden, so kann der Protest noch am folgenden Tag erhoben werden.</w:t>
      </w:r>
    </w:p>
    <w:p>
      <w:r>
        <w:t xml:space="preserve">(3) Der Protest mangels Zahlung muß bei einem Wechsel, der an einem bestimmten Tag oder bestimmte Zeit nach der Ausstellung oder nach Sicht zahlbar ist, an einem der beiden auf den Zahlungstag folgenden Werktage erhoben werden. Bei einem Sichtwechsel muß der Protest mangels Zahlung in den gleichen Fristen erhoben werden, wie sie im vorhergehenden Absatz für den Protest mangels Annahme vorgesehen sind.</w:t>
      </w:r>
    </w:p>
    <w:p>
      <w:r>
        <w:t xml:space="preserve">(4) Ist Protest mangels Annahme erhoben worden, so bedarf es weder der Vorlegung zur Zahlung noch des Protests mangels Zahlung.</w:t>
      </w:r>
    </w:p>
    <w:p>
      <w:r>
        <w:t xml:space="preserve">(5) Hat der Bezogene, gleichviel ob er den Wechsel angenommen hat oder nicht, seine Zahlungen eingestellt, oder ist eine Zwangsvollstreckung in sein Vermögen fruchtlos verlaufen, so kann der Inhaber nur Rückgriff nehmen, nachdem der Wechsel dem Bezogenen zur Zahlung vorgelegt und Protest erhoben worden ist.</w:t>
      </w:r>
    </w:p>
    <w:p>
      <w:r>
        <w:t xml:space="preserve">(6) Ist über das Vermögen des Bezogenen, gleichviel ob er den Wechsel angenommen hat oder nicht, oder über das Vermögen des Ausstellers eines Wechsels, dessen Vorlegung zur Annahme untersagt ist, das Insolvenzverfahren eröffnet worden, so genügt es zur Ausübung des Rückgriffsrechts, daß der gerichtliche Beschluß über die Eröffnung des Insolvenzverfahrens vorgelegt wird. Die Vorlegung der Bekanntmachung des gerichtlichen Beschlusses im Internet oder der Veröffentlichung nach § 9 Absatz 2 Satz 1 der Insolvenzordnung ist der Vorlegung des gerichtlichen Beschlusses gleichzuachten.</w:t>
      </w:r>
    </w:p>
    <w:p>
      <w:r>
        <w:rPr>
          <w:color w:val="555555"/>
          <w:sz w:val="17"/>
        </w:rPr>
        <w:t xml:space="preserve">Zitiervorschlag: Art 44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