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WG</w:t>
      </w:r>
    </w:p>
    <w:p>
      <w:r>
        <w:rPr>
          <w:color w:val="555555"/>
          <w:sz w:val="18"/>
        </w:rPr>
        <w:t xml:space="preserve">Wechselgesetz</w:t>
      </w:r>
    </w:p>
    <w:p>
      <w:r>
        <w:rPr>
          <w:color w:val="555555"/>
          <w:sz w:val="18"/>
        </w:rPr>
        <w:t xml:space="preserve">Stand: 10.06.2019 (konsolidierte Textfassung, kein amtliches Inkrafttretensdatum)</w:t>
      </w:r>
    </w:p>
    <w:p>
      <w:r>
        <w:t xml:space="preserve">Wird der Wechsel nicht innerhalb der in Artikel 38 bestimmten Frist zur Zahlung vorgelegt, so kann der Schuldner die Wechselsumme bei der zuständigen Behörde auf Gefahr und Kosten des Inhabers hinterlegen.</w:t>
      </w:r>
    </w:p>
    <w:p>
      <w:r>
        <w:rPr>
          <w:color w:val="555555"/>
          <w:sz w:val="17"/>
        </w:rPr>
        <w:t xml:space="preserve">Zitiervorschlag: Art 42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