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WG</w:t>
      </w:r>
    </w:p>
    <w:p>
      <w:r>
        <w:rPr>
          <w:color w:val="555555"/>
          <w:sz w:val="18"/>
        </w:rPr>
        <w:t xml:space="preserve">Wechselgesetz</w:t>
      </w:r>
    </w:p>
    <w:p>
      <w:r>
        <w:rPr>
          <w:color w:val="555555"/>
          <w:sz w:val="18"/>
        </w:rPr>
        <w:t xml:space="preserve">Stand: 10.06.2019 (konsolidierte Textfassung, kein amtliches Inkrafttretensdatum)</w:t>
      </w:r>
    </w:p>
    <w:p>
      <w:r>
        <w:t xml:space="preserve">(1) Lautet der Wechsel auf eine Währung, die am Zahlungsort nicht gilt, so kann die Wechselsumme in der Landeswährung nach dem Wert gezahlt werden, den sie am Verfalltag besitzt. Wenn der Schuldner die Zahlung verzögert, so kann der Inhaber wählen, ob die Wechselsumme nach dem Kurs des Verfalltages oder nach dem Kurs des Zahlungstags in die Landeswährung umgerechnet werden soll.</w:t>
      </w:r>
    </w:p>
    <w:p>
      <w:r>
        <w:t xml:space="preserve">(2) Der Wert der fremden Währung bestimmt sich nach den Handelsgebräuchen des Zahlungsortes. Der Aussteller kann jedoch im Wechsel für die zu zahlende Summe einen Umrechnungskurs bestimmen.</w:t>
      </w:r>
    </w:p>
    <w:p>
      <w:r>
        <w:t xml:space="preserve">(3) Die Vorschriften der beiden ersten Absätze finden keine Anwendung, wenn der Aussteller die Zahlung in einer bestimmten Währung vorgeschrieben hat (Effektivvermerk).</w:t>
      </w:r>
    </w:p>
    <w:p>
      <w:r>
        <w:t xml:space="preserve">(4) Lautet der Wechsel auf eine Geldsorte, die im Lande der Ausstellung dieselbe Bezeichnung, aber einen anderen Wert hat als in dem der Zahlung, so wird vermutet, daß die Geldsorte des Zahlungsorts gemeint ist.</w:t>
      </w:r>
    </w:p>
    <w:p>
      <w:r>
        <w:rPr>
          <w:color w:val="555555"/>
          <w:sz w:val="17"/>
        </w:rPr>
        <w:t xml:space="preserve">Zitiervorschlag: Art 41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