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4 WG</w:t>
      </w:r>
    </w:p>
    <w:p>
      <w:r>
        <w:rPr>
          <w:color w:val="555555"/>
          <w:sz w:val="18"/>
        </w:rPr>
        <w:t xml:space="preserve">Wechselgesetz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Wechsel kann bei einem Dritten, am Wohnort des Bezogenen oder an einem anderen Orte, zahlbar gestellt werden.</w:t>
      </w:r>
    </w:p>
    <w:p>
      <w:r>
        <w:rPr>
          <w:color w:val="555555"/>
          <w:sz w:val="17"/>
        </w:rPr>
        <w:t xml:space="preserve">Zitiervorschlag: Art 4 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https://recht.nulegal.eu/gesetze/WG/4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