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39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Bezogene kann vom Inhaber gegen Zahlung die Aushändigung des quittierten Wechsels verlangen.</w:t>
      </w:r>
    </w:p>
    <w:p>
      <w:r>
        <w:t xml:space="preserve">(2) Der Inhaber darf eine Teilzahlung nicht zurückweisen.</w:t>
      </w:r>
    </w:p>
    <w:p>
      <w:r>
        <w:t xml:space="preserve">(3) Im Falle der Teilzahlung kann der Bezogene verlangen, daß sie auf dem Wechsel vermerkt und ihm eine Quittung erteilt wird.</w:t>
      </w:r>
    </w:p>
    <w:p>
      <w:r>
        <w:rPr>
          <w:color w:val="555555"/>
          <w:sz w:val="17"/>
        </w:rPr>
        <w:t xml:space="preserve">Zitiervorschlag: Art 39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