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34 WG</w:t>
      </w:r>
    </w:p>
    <w:p>
      <w:r>
        <w:rPr>
          <w:color w:val="555555"/>
          <w:sz w:val="18"/>
        </w:rPr>
        <w:t xml:space="preserve">Wechselgesetz</w:t>
      </w:r>
    </w:p>
    <w:p>
      <w:r>
        <w:rPr>
          <w:color w:val="555555"/>
          <w:sz w:val="18"/>
        </w:rPr>
        <w:t xml:space="preserve">Stand: 10.06.2019 (konsolidierte Textfassung, kein amtliches Inkrafttretensdatum)</w:t>
      </w:r>
    </w:p>
    <w:p>
      <w:r>
        <w:t xml:space="preserve">(1) Der Sichtwechsel ist bei der Vorlegung fällig. Er muß binnen einem Jahr nach der Ausstellung zur Zahlung vorgelegt werden. Der Aussteller kann eine kürzere oder eine längere Frist bestimmen. Die Indossanten können die Vorlegungsfristen abkürzen.</w:t>
      </w:r>
    </w:p>
    <w:p>
      <w:r>
        <w:t xml:space="preserve">(2) Der Aussteller kann vorschreiben, daß der Sichtwechsel nicht vor einem bestimmten Tag zur Zahlung vorgelegt werden darf. In diesem Falle beginnt die Vorlegungsfrist mit diesem Tag.</w:t>
      </w:r>
    </w:p>
    <w:p>
      <w:r>
        <w:rPr>
          <w:color w:val="555555"/>
          <w:sz w:val="17"/>
        </w:rPr>
        <w:t xml:space="preserve">Zitiervorschlag: Art 34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