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33 WG</w:t>
      </w:r>
    </w:p>
    <w:p>
      <w:r>
        <w:rPr>
          <w:color w:val="555555"/>
          <w:sz w:val="18"/>
        </w:rPr>
        <w:t xml:space="preserve">Wechselgesetz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(1) Ein Wechsel kann gezogen werden auf Sicht;auf eine bestimmte Zeit nach Sicht;auf eine bestimmte Zeit nach der Ausstellung;auf einen bestimmten Tag.</w:t>
      </w:r>
    </w:p>
    <w:p>
      <w:r>
        <w:t xml:space="preserve">(2) Wechsel mit anderen oder mit mehreren aufeinanderfolgenden Verfallzeiten sind nichtig.</w:t>
      </w:r>
    </w:p>
    <w:p>
      <w:r>
        <w:rPr>
          <w:color w:val="555555"/>
          <w:sz w:val="17"/>
        </w:rPr>
        <w:t xml:space="preserve">Zitiervorschlag: Art 33 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https://recht.nulegal.eu/gesetze/WG/33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