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32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Wechselbürge haftet in der gleichen Weise wie derjenige, für den er sich verbürgt hat.</w:t>
      </w:r>
    </w:p>
    <w:p>
      <w:r>
        <w:t xml:space="preserve">(2) Seine Verpflichtungserklärung ist auch gültig, wenn die Verbindlichkeit, für die er sich verbürgt hat, aus einem anderen Grund als wegen eines Formfehlers nichtig ist.</w:t>
      </w:r>
    </w:p>
    <w:p>
      <w:r>
        <w:t xml:space="preserve">(3) Der Wechselbürge, der den Wechsel bezahlt, erwirbt die Rechte aus dem Wechsel gegen denjenigen, für den er sich verbürgt hat, und gegen alle, die diesem wechselmäßig haften.</w:t>
      </w:r>
    </w:p>
    <w:p>
      <w:r>
        <w:rPr>
          <w:color w:val="555555"/>
          <w:sz w:val="17"/>
        </w:rPr>
        <w:t xml:space="preserve">Zitiervorschlag: Art 32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