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31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Bürgschaftserklärung wird auf den Wechsel oder auf einen Anhang gesetzt.</w:t>
      </w:r>
    </w:p>
    <w:p>
      <w:r>
        <w:t xml:space="preserve">(2) Sie wird durch die Worte "als Bürge" oder einen gleichbedeutenden Vermerk ausgedrückt; sie ist von dem Wechselbürgen zu unterschreiben.</w:t>
      </w:r>
    </w:p>
    <w:p>
      <w:r>
        <w:t xml:space="preserve">(3) Die bloße Unterschrift auf der Vorderseite des Wechsels gilt als Bürgschaftserklärung, soweit es sich nicht um die Unterschrift des Bezogenen oder des Ausstellers handelt.</w:t>
      </w:r>
    </w:p>
    <w:p>
      <w:r>
        <w:t xml:space="preserve">(4) In der Erklärung ist anzugeben, für wen die Bürgschaft geleistet wird; mangels einer solchen Angabe gilt sie für den Aussteller.</w:t>
      </w:r>
    </w:p>
    <w:p>
      <w:r>
        <w:rPr>
          <w:color w:val="555555"/>
          <w:sz w:val="17"/>
        </w:rPr>
        <w:t xml:space="preserve">Zitiervorschlag: Art 31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